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C3087" w:rsidRDefault="00A27A10" w:rsidP="008C3087">
      <w:pPr>
        <w:jc w:val="center"/>
        <w:rPr>
          <w:rFonts w:ascii="Arial" w:hAnsi="Arial" w:cs="Arial"/>
          <w:b/>
          <w:color w:val="0084D1"/>
          <w:sz w:val="28"/>
          <w:szCs w:val="28"/>
        </w:rPr>
      </w:pPr>
      <w:r>
        <w:rPr>
          <w:rFonts w:ascii="Arial" w:hAnsi="Arial" w:cs="Arial"/>
          <w:b/>
          <w:noProof/>
          <w:color w:val="0084D1"/>
          <w:sz w:val="28"/>
          <w:szCs w:val="28"/>
        </w:rPr>
        <mc:AlternateContent>
          <mc:Choice Requires="wps">
            <w:drawing>
              <wp:anchor distT="0" distB="0" distL="114300" distR="114300" simplePos="0" relativeHeight="251659264" behindDoc="0" locked="0" layoutInCell="1" allowOverlap="1" wp14:anchorId="66DB2039" wp14:editId="7F7015B3">
                <wp:simplePos x="0" y="0"/>
                <wp:positionH relativeFrom="column">
                  <wp:posOffset>1833245</wp:posOffset>
                </wp:positionH>
                <wp:positionV relativeFrom="paragraph">
                  <wp:posOffset>136525</wp:posOffset>
                </wp:positionV>
                <wp:extent cx="4267200" cy="1013460"/>
                <wp:effectExtent l="0" t="0" r="1905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013460"/>
                        </a:xfrm>
                        <a:prstGeom prst="rect">
                          <a:avLst/>
                        </a:prstGeom>
                        <a:solidFill>
                          <a:srgbClr val="993366"/>
                        </a:solidFill>
                        <a:ln w="9525">
                          <a:solidFill>
                            <a:srgbClr val="000000"/>
                          </a:solidFill>
                          <a:miter lim="800000"/>
                          <a:headEnd/>
                          <a:tailEnd/>
                        </a:ln>
                      </wps:spPr>
                      <wps:txbx>
                        <w:txbxContent>
                          <w:p w:rsidR="00A27A10" w:rsidRDefault="00A27A10" w:rsidP="00722754">
                            <w:pPr>
                              <w:jc w:val="center"/>
                              <w:rPr>
                                <w:rFonts w:ascii="Arial" w:hAnsi="Arial" w:cs="Arial"/>
                                <w:b/>
                                <w:color w:val="FFFFFF"/>
                                <w:sz w:val="28"/>
                                <w:szCs w:val="28"/>
                              </w:rPr>
                            </w:pPr>
                            <w:r w:rsidRPr="00A27A10">
                              <w:rPr>
                                <w:rFonts w:ascii="Arial" w:hAnsi="Arial" w:cs="Arial"/>
                                <w:b/>
                                <w:color w:val="FFFFFF"/>
                                <w:sz w:val="28"/>
                                <w:szCs w:val="28"/>
                              </w:rPr>
                              <w:t xml:space="preserve">Safeguarding Adults </w:t>
                            </w:r>
                            <w:r>
                              <w:rPr>
                                <w:rFonts w:ascii="Arial" w:hAnsi="Arial" w:cs="Arial"/>
                                <w:b/>
                                <w:color w:val="FFFFFF"/>
                                <w:sz w:val="28"/>
                                <w:szCs w:val="28"/>
                              </w:rPr>
                              <w:t>Serious Adults Review</w:t>
                            </w:r>
                          </w:p>
                          <w:p w:rsidR="00A27A10" w:rsidRPr="00A27A10" w:rsidRDefault="00A27A10" w:rsidP="00722754">
                            <w:pPr>
                              <w:jc w:val="center"/>
                              <w:rPr>
                                <w:rFonts w:ascii="Arial" w:hAnsi="Arial" w:cs="Arial"/>
                                <w:b/>
                                <w:color w:val="FFFFFF"/>
                                <w:sz w:val="28"/>
                                <w:szCs w:val="28"/>
                              </w:rPr>
                            </w:pPr>
                            <w:r w:rsidRPr="00A27A10">
                              <w:rPr>
                                <w:rFonts w:ascii="Arial" w:hAnsi="Arial" w:cs="Arial"/>
                                <w:b/>
                                <w:color w:val="FFFFFF"/>
                                <w:sz w:val="28"/>
                                <w:szCs w:val="28"/>
                              </w:rPr>
                              <w:t xml:space="preserve"> Sub Group</w:t>
                            </w:r>
                          </w:p>
                          <w:p w:rsidR="00A27A10" w:rsidRPr="00A27A10" w:rsidRDefault="00A27A10" w:rsidP="00722754">
                            <w:pPr>
                              <w:jc w:val="center"/>
                              <w:rPr>
                                <w:rFonts w:ascii="Arial" w:hAnsi="Arial" w:cs="Arial"/>
                                <w:b/>
                                <w:color w:val="FFFFFF"/>
                                <w:sz w:val="28"/>
                                <w:szCs w:val="28"/>
                              </w:rPr>
                            </w:pPr>
                          </w:p>
                          <w:p w:rsidR="00A27A10" w:rsidRPr="00A27A10" w:rsidRDefault="00A27A10" w:rsidP="00722754">
                            <w:pPr>
                              <w:jc w:val="center"/>
                              <w:rPr>
                                <w:rFonts w:ascii="Arial" w:hAnsi="Arial" w:cs="Arial"/>
                                <w:b/>
                                <w:color w:val="FFFFFF"/>
                                <w:sz w:val="28"/>
                                <w:szCs w:val="28"/>
                              </w:rPr>
                            </w:pPr>
                            <w:r w:rsidRPr="00A27A10">
                              <w:rPr>
                                <w:rFonts w:ascii="Arial" w:hAnsi="Arial" w:cs="Arial"/>
                                <w:b/>
                                <w:color w:val="FFFFFF"/>
                                <w:sz w:val="28"/>
                                <w:szCs w:val="28"/>
                              </w:rPr>
                              <w:t>Terms of Reference</w:t>
                            </w:r>
                          </w:p>
                          <w:p w:rsidR="00A27A10" w:rsidRPr="00722754" w:rsidRDefault="00A27A10" w:rsidP="00722754">
                            <w:pPr>
                              <w:jc w:val="center"/>
                              <w:rPr>
                                <w:rFonts w:cs="Arial"/>
                                <w:b/>
                                <w:color w:val="FFFF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44.35pt;margin-top:10.75pt;width:336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" fillcolor="#936">
                <v:textbox>
                  <w:txbxContent>
                    <w:p w:rsidR="00A27A10" w:rsidRDefault="00A27A10" w:rsidP="00722754">
                      <w:pPr>
                        <w:jc w:val="center"/>
                        <w:rPr>
                          <w:rFonts w:ascii="Arial" w:hAnsi="Arial" w:cs="Arial"/>
                          <w:b/>
                          <w:color w:val="FFFFFF"/>
                          <w:sz w:val="28"/>
                          <w:szCs w:val="28"/>
                        </w:rPr>
                      </w:pPr>
                      <w:r w:rsidRPr="00A27A10">
                        <w:rPr>
                          <w:rFonts w:ascii="Arial" w:hAnsi="Arial" w:cs="Arial"/>
                          <w:b/>
                          <w:color w:val="FFFFFF"/>
                          <w:sz w:val="28"/>
                          <w:szCs w:val="28"/>
                        </w:rPr>
                        <w:t xml:space="preserve">Safeguarding Adults </w:t>
                      </w:r>
                      <w:r>
                        <w:rPr>
                          <w:rFonts w:ascii="Arial" w:hAnsi="Arial" w:cs="Arial"/>
                          <w:b/>
                          <w:color w:val="FFFFFF"/>
                          <w:sz w:val="28"/>
                          <w:szCs w:val="28"/>
                        </w:rPr>
                        <w:t>Serious Adults Review</w:t>
                      </w:r>
                    </w:p>
                    <w:p w:rsidR="00A27A10" w:rsidRPr="00A27A10" w:rsidRDefault="00A27A10" w:rsidP="00722754">
                      <w:pPr>
                        <w:jc w:val="center"/>
                        <w:rPr>
                          <w:rFonts w:ascii="Arial" w:hAnsi="Arial" w:cs="Arial"/>
                          <w:b/>
                          <w:color w:val="FFFFFF"/>
                          <w:sz w:val="28"/>
                          <w:szCs w:val="28"/>
                        </w:rPr>
                      </w:pPr>
                      <w:r w:rsidRPr="00A27A10">
                        <w:rPr>
                          <w:rFonts w:ascii="Arial" w:hAnsi="Arial" w:cs="Arial"/>
                          <w:b/>
                          <w:color w:val="FFFFFF"/>
                          <w:sz w:val="28"/>
                          <w:szCs w:val="28"/>
                        </w:rPr>
                        <w:t xml:space="preserve"> Sub Group</w:t>
                      </w:r>
                    </w:p>
                    <w:p w:rsidR="00A27A10" w:rsidRPr="00A27A10" w:rsidRDefault="00A27A10" w:rsidP="00722754">
                      <w:pPr>
                        <w:jc w:val="center"/>
                        <w:rPr>
                          <w:rFonts w:ascii="Arial" w:hAnsi="Arial" w:cs="Arial"/>
                          <w:b/>
                          <w:color w:val="FFFFFF"/>
                          <w:sz w:val="28"/>
                          <w:szCs w:val="28"/>
                        </w:rPr>
                      </w:pPr>
                    </w:p>
                    <w:p w:rsidR="00A27A10" w:rsidRPr="00A27A10" w:rsidRDefault="00A27A10" w:rsidP="00722754">
                      <w:pPr>
                        <w:jc w:val="center"/>
                        <w:rPr>
                          <w:rFonts w:ascii="Arial" w:hAnsi="Arial" w:cs="Arial"/>
                          <w:b/>
                          <w:color w:val="FFFFFF"/>
                          <w:sz w:val="28"/>
                          <w:szCs w:val="28"/>
                        </w:rPr>
                      </w:pPr>
                      <w:r w:rsidRPr="00A27A10">
                        <w:rPr>
                          <w:rFonts w:ascii="Arial" w:hAnsi="Arial" w:cs="Arial"/>
                          <w:b/>
                          <w:color w:val="FFFFFF"/>
                          <w:sz w:val="28"/>
                          <w:szCs w:val="28"/>
                        </w:rPr>
                        <w:t>Terms of Reference</w:t>
                      </w:r>
                    </w:p>
                    <w:p w:rsidR="00A27A10" w:rsidRPr="00722754" w:rsidRDefault="00A27A10" w:rsidP="00722754">
                      <w:pPr>
                        <w:jc w:val="center"/>
                        <w:rPr>
                          <w:rFonts w:cs="Arial"/>
                          <w:b/>
                          <w:color w:val="FFFFFF"/>
                          <w:sz w:val="28"/>
                          <w:szCs w:val="28"/>
                        </w:rPr>
                      </w:pPr>
                    </w:p>
                  </w:txbxContent>
                </v:textbox>
              </v:rect>
            </w:pict>
          </mc:Fallback>
        </mc:AlternateContent>
      </w:r>
      <w:r>
        <w:rPr>
          <w:rFonts w:ascii="Arial" w:hAnsi="Arial" w:cs="Arial"/>
          <w:b/>
          <w:noProof/>
          <w:color w:val="0084D1"/>
          <w:sz w:val="28"/>
          <w:szCs w:val="28"/>
        </w:rPr>
        <w:drawing>
          <wp:anchor distT="0" distB="0" distL="114300" distR="114300" simplePos="0" relativeHeight="251658240" behindDoc="0" locked="0" layoutInCell="1" allowOverlap="1" wp14:anchorId="574FE26B" wp14:editId="2EAE1151">
            <wp:simplePos x="0" y="0"/>
            <wp:positionH relativeFrom="column">
              <wp:posOffset>-60960</wp:posOffset>
            </wp:positionH>
            <wp:positionV relativeFrom="paragraph">
              <wp:posOffset>123825</wp:posOffset>
            </wp:positionV>
            <wp:extent cx="1553210" cy="112839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321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7A10" w:rsidRDefault="00A27A10" w:rsidP="008C3087">
      <w:pPr>
        <w:jc w:val="center"/>
        <w:rPr>
          <w:rFonts w:ascii="Arial" w:hAnsi="Arial" w:cs="Arial"/>
          <w:b/>
          <w:color w:val="0084D1"/>
          <w:sz w:val="28"/>
          <w:szCs w:val="28"/>
        </w:rPr>
      </w:pPr>
    </w:p>
    <w:p w:rsidR="00A27A10" w:rsidRDefault="00A27A10" w:rsidP="008C3087">
      <w:pPr>
        <w:jc w:val="center"/>
        <w:rPr>
          <w:rFonts w:ascii="Arial" w:hAnsi="Arial" w:cs="Arial"/>
          <w:b/>
          <w:color w:val="0084D1"/>
          <w:sz w:val="28"/>
          <w:szCs w:val="28"/>
        </w:rPr>
      </w:pPr>
    </w:p>
    <w:p w:rsidR="00A27A10" w:rsidRDefault="00A27A10" w:rsidP="008C3087">
      <w:pPr>
        <w:jc w:val="center"/>
        <w:rPr>
          <w:rFonts w:ascii="Arial" w:hAnsi="Arial" w:cs="Arial"/>
          <w:b/>
          <w:color w:val="0084D1"/>
          <w:sz w:val="28"/>
          <w:szCs w:val="28"/>
        </w:rPr>
      </w:pPr>
    </w:p>
    <w:p w:rsidR="00A27A10" w:rsidRDefault="00A27A10" w:rsidP="008C3087">
      <w:pPr>
        <w:jc w:val="center"/>
        <w:rPr>
          <w:rFonts w:ascii="Arial" w:hAnsi="Arial" w:cs="Arial"/>
          <w:b/>
          <w:color w:val="0084D1"/>
          <w:sz w:val="28"/>
          <w:szCs w:val="28"/>
        </w:rPr>
      </w:pPr>
    </w:p>
    <w:p w:rsidR="00A27A10" w:rsidRDefault="00A27A10" w:rsidP="008C3087">
      <w:pPr>
        <w:jc w:val="center"/>
        <w:rPr>
          <w:rFonts w:ascii="Arial" w:hAnsi="Arial" w:cs="Arial"/>
          <w:b/>
          <w:color w:val="0084D1"/>
          <w:sz w:val="28"/>
          <w:szCs w:val="28"/>
        </w:rPr>
      </w:pPr>
    </w:p>
    <w:p w:rsidR="00A27A10" w:rsidRDefault="00A27A10" w:rsidP="008C3087">
      <w:pPr>
        <w:jc w:val="center"/>
        <w:rPr>
          <w:rFonts w:ascii="Arial" w:hAnsi="Arial" w:cs="Arial"/>
          <w:b/>
          <w:color w:val="0084D1"/>
          <w:sz w:val="28"/>
          <w:szCs w:val="28"/>
        </w:rPr>
      </w:pPr>
    </w:p>
    <w:p w:rsidR="007C1D95" w:rsidRDefault="007C1D95" w:rsidP="008C3087">
      <w:pPr>
        <w:jc w:val="center"/>
        <w:rPr>
          <w:rFonts w:ascii="Arial" w:hAnsi="Arial" w:cs="Arial"/>
          <w:b/>
          <w:color w:val="0084D1"/>
          <w:sz w:val="28"/>
          <w:szCs w:val="28"/>
        </w:rPr>
      </w:pPr>
    </w:p>
    <w:p w:rsidR="00A27A10" w:rsidRPr="00FE2D93" w:rsidRDefault="00A27A10" w:rsidP="005A69A0">
      <w:pPr>
        <w:spacing w:line="360" w:lineRule="auto"/>
        <w:rPr>
          <w:rFonts w:ascii="Arial" w:hAnsi="Arial" w:cs="Arial"/>
        </w:rPr>
      </w:pPr>
      <w:r w:rsidRPr="00FE2D93">
        <w:rPr>
          <w:rFonts w:ascii="Arial" w:hAnsi="Arial" w:cs="Arial"/>
        </w:rPr>
        <w:t>The purpose of the S</w:t>
      </w:r>
      <w:r w:rsidR="00C34C88">
        <w:rPr>
          <w:rFonts w:ascii="Arial" w:hAnsi="Arial" w:cs="Arial"/>
        </w:rPr>
        <w:t xml:space="preserve">afeguarding </w:t>
      </w:r>
      <w:r w:rsidRPr="00FE2D93">
        <w:rPr>
          <w:rFonts w:ascii="Arial" w:hAnsi="Arial" w:cs="Arial"/>
        </w:rPr>
        <w:t xml:space="preserve">Adults Review </w:t>
      </w:r>
      <w:r w:rsidR="00C34C88">
        <w:rPr>
          <w:rFonts w:ascii="Arial" w:hAnsi="Arial" w:cs="Arial"/>
        </w:rPr>
        <w:t xml:space="preserve">(SAR) </w:t>
      </w:r>
      <w:r w:rsidRPr="00FE2D93">
        <w:rPr>
          <w:rFonts w:ascii="Arial" w:hAnsi="Arial" w:cs="Arial"/>
        </w:rPr>
        <w:t xml:space="preserve">sub group is to advice the </w:t>
      </w:r>
      <w:r w:rsidR="00C34C88">
        <w:rPr>
          <w:rFonts w:ascii="Arial" w:hAnsi="Arial" w:cs="Arial"/>
        </w:rPr>
        <w:t xml:space="preserve">Rotherham Safeguarding Adults Board (RSAB), </w:t>
      </w:r>
      <w:r w:rsidRPr="00FE2D93">
        <w:rPr>
          <w:rFonts w:ascii="Arial" w:hAnsi="Arial" w:cs="Arial"/>
        </w:rPr>
        <w:t xml:space="preserve">Chair and members </w:t>
      </w:r>
      <w:r w:rsidR="00C34C88">
        <w:rPr>
          <w:rFonts w:ascii="Arial" w:hAnsi="Arial" w:cs="Arial"/>
        </w:rPr>
        <w:t xml:space="preserve">of when </w:t>
      </w:r>
      <w:r w:rsidRPr="00FE2D93">
        <w:rPr>
          <w:rFonts w:ascii="Arial" w:hAnsi="Arial" w:cs="Arial"/>
        </w:rPr>
        <w:t>the c</w:t>
      </w:r>
      <w:r w:rsidR="00C34C88">
        <w:rPr>
          <w:rFonts w:ascii="Arial" w:hAnsi="Arial" w:cs="Arial"/>
        </w:rPr>
        <w:t>riteria for conducting a SAR have</w:t>
      </w:r>
      <w:r w:rsidRPr="00FE2D93">
        <w:rPr>
          <w:rFonts w:ascii="Arial" w:hAnsi="Arial" w:cs="Arial"/>
        </w:rPr>
        <w:t xml:space="preserve"> been met and to oversee and quality assure all SAR’s </w:t>
      </w:r>
      <w:r w:rsidR="00C34C88">
        <w:rPr>
          <w:rFonts w:ascii="Arial" w:hAnsi="Arial" w:cs="Arial"/>
        </w:rPr>
        <w:t xml:space="preserve">that are </w:t>
      </w:r>
      <w:r w:rsidRPr="00FE2D93">
        <w:rPr>
          <w:rFonts w:ascii="Arial" w:hAnsi="Arial" w:cs="Arial"/>
        </w:rPr>
        <w:t>undertaken by the R</w:t>
      </w:r>
      <w:r w:rsidR="00C34C88">
        <w:rPr>
          <w:rFonts w:ascii="Arial" w:hAnsi="Arial" w:cs="Arial"/>
        </w:rPr>
        <w:t>SAB.</w:t>
      </w:r>
    </w:p>
    <w:p w:rsidR="00A27A10" w:rsidRDefault="00A27A10" w:rsidP="005A69A0">
      <w:pPr>
        <w:spacing w:line="360" w:lineRule="auto"/>
        <w:rPr>
          <w:rFonts w:ascii="Arial" w:hAnsi="Arial" w:cs="Arial"/>
          <w:sz w:val="22"/>
          <w:szCs w:val="22"/>
        </w:rPr>
      </w:pPr>
    </w:p>
    <w:p w:rsidR="000913B2" w:rsidRPr="000913B2" w:rsidRDefault="000913B2" w:rsidP="000913B2">
      <w:pPr>
        <w:tabs>
          <w:tab w:val="left" w:pos="720"/>
        </w:tabs>
        <w:jc w:val="both"/>
        <w:rPr>
          <w:rFonts w:ascii="Arial" w:hAnsi="Arial" w:cs="Arial"/>
          <w:b/>
          <w:sz w:val="22"/>
          <w:szCs w:val="22"/>
          <w:lang w:eastAsia="en-US"/>
        </w:rPr>
      </w:pPr>
      <w:r w:rsidRPr="000913B2">
        <w:rPr>
          <w:rFonts w:ascii="Arial" w:hAnsi="Arial" w:cs="Arial"/>
          <w:b/>
          <w:sz w:val="22"/>
          <w:szCs w:val="22"/>
          <w:lang w:eastAsia="en-US"/>
        </w:rPr>
        <w:t>1.</w:t>
      </w:r>
      <w:r w:rsidRPr="000913B2">
        <w:rPr>
          <w:rFonts w:ascii="Arial" w:hAnsi="Arial" w:cs="Arial"/>
          <w:b/>
          <w:sz w:val="22"/>
          <w:szCs w:val="22"/>
          <w:lang w:eastAsia="en-US"/>
        </w:rPr>
        <w:tab/>
        <w:t xml:space="preserve">Specific Responsibilities </w:t>
      </w:r>
    </w:p>
    <w:p w:rsidR="000913B2" w:rsidRDefault="000913B2" w:rsidP="005A69A0">
      <w:pPr>
        <w:spacing w:line="360" w:lineRule="auto"/>
        <w:rPr>
          <w:rFonts w:ascii="Arial" w:hAnsi="Arial" w:cs="Arial"/>
          <w:sz w:val="22"/>
          <w:szCs w:val="22"/>
        </w:rPr>
      </w:pPr>
    </w:p>
    <w:p w:rsidR="0057031D" w:rsidRPr="00FE2D93" w:rsidRDefault="00A27A10" w:rsidP="005A69A0">
      <w:pPr>
        <w:spacing w:line="360" w:lineRule="auto"/>
        <w:rPr>
          <w:rFonts w:ascii="Arial" w:hAnsi="Arial" w:cs="Arial"/>
        </w:rPr>
      </w:pPr>
      <w:r w:rsidRPr="00FE2D93">
        <w:rPr>
          <w:rFonts w:ascii="Arial" w:hAnsi="Arial" w:cs="Arial"/>
        </w:rPr>
        <w:t>S</w:t>
      </w:r>
      <w:r w:rsidR="00680DD6" w:rsidRPr="00FE2D93">
        <w:rPr>
          <w:rFonts w:ascii="Arial" w:hAnsi="Arial" w:cs="Arial"/>
        </w:rPr>
        <w:t>ection 44 of th</w:t>
      </w:r>
      <w:r w:rsidR="00C34C88">
        <w:rPr>
          <w:rFonts w:ascii="Arial" w:hAnsi="Arial" w:cs="Arial"/>
        </w:rPr>
        <w:t>e Care Act 2014 requires local Safeguarding Adult B</w:t>
      </w:r>
      <w:r w:rsidR="00680DD6" w:rsidRPr="00FE2D93">
        <w:rPr>
          <w:rFonts w:ascii="Arial" w:hAnsi="Arial" w:cs="Arial"/>
        </w:rPr>
        <w:t>oards (SAB’s) to arrange a SAR when an adult in its area dies as a result of abuse or neglect, whether known or suspected, and there is concern that partner agencies could have worked more effectivel</w:t>
      </w:r>
      <w:r w:rsidR="00A30771" w:rsidRPr="00FE2D93">
        <w:rPr>
          <w:rFonts w:ascii="Arial" w:hAnsi="Arial" w:cs="Arial"/>
        </w:rPr>
        <w:t>y to protect the person at risk</w:t>
      </w:r>
      <w:r w:rsidR="0001232A" w:rsidRPr="00FE2D93">
        <w:rPr>
          <w:rFonts w:ascii="Arial" w:hAnsi="Arial" w:cs="Arial"/>
        </w:rPr>
        <w:t>.</w:t>
      </w:r>
      <w:r w:rsidR="00680DD6" w:rsidRPr="00FE2D93">
        <w:rPr>
          <w:rFonts w:ascii="Arial" w:hAnsi="Arial" w:cs="Arial"/>
        </w:rPr>
        <w:t xml:space="preserve"> </w:t>
      </w:r>
    </w:p>
    <w:p w:rsidR="00A27A10" w:rsidRPr="00FE2D93" w:rsidRDefault="00A27A10" w:rsidP="005A69A0">
      <w:pPr>
        <w:spacing w:line="360" w:lineRule="auto"/>
        <w:rPr>
          <w:rFonts w:ascii="Arial" w:hAnsi="Arial" w:cs="Arial"/>
        </w:rPr>
      </w:pPr>
    </w:p>
    <w:p w:rsidR="00680DD6" w:rsidRPr="00FE2D93" w:rsidRDefault="0057031D" w:rsidP="005A69A0">
      <w:pPr>
        <w:spacing w:line="360" w:lineRule="auto"/>
        <w:rPr>
          <w:rFonts w:ascii="Arial" w:hAnsi="Arial" w:cs="Arial"/>
        </w:rPr>
      </w:pPr>
      <w:r w:rsidRPr="00FE2D93">
        <w:rPr>
          <w:rFonts w:ascii="Arial" w:hAnsi="Arial" w:cs="Arial"/>
        </w:rPr>
        <w:t>The Act</w:t>
      </w:r>
      <w:r w:rsidR="00680DD6" w:rsidRPr="00FE2D93">
        <w:rPr>
          <w:rFonts w:ascii="Arial" w:hAnsi="Arial" w:cs="Arial"/>
        </w:rPr>
        <w:t xml:space="preserve"> also enables </w:t>
      </w:r>
      <w:r w:rsidR="00C34C88">
        <w:rPr>
          <w:rFonts w:ascii="Arial" w:hAnsi="Arial" w:cs="Arial"/>
        </w:rPr>
        <w:t xml:space="preserve">the </w:t>
      </w:r>
      <w:r w:rsidR="00680DD6" w:rsidRPr="00FE2D93">
        <w:rPr>
          <w:rFonts w:ascii="Arial" w:hAnsi="Arial" w:cs="Arial"/>
        </w:rPr>
        <w:t xml:space="preserve">SAB’s </w:t>
      </w:r>
      <w:r w:rsidRPr="00FE2D93">
        <w:rPr>
          <w:rFonts w:ascii="Arial" w:hAnsi="Arial" w:cs="Arial"/>
        </w:rPr>
        <w:t xml:space="preserve">flexibility to choose a proportionate methodology </w:t>
      </w:r>
      <w:r w:rsidR="00680DD6" w:rsidRPr="00FE2D93">
        <w:rPr>
          <w:rFonts w:ascii="Arial" w:hAnsi="Arial" w:cs="Arial"/>
        </w:rPr>
        <w:t>to carry out reviews in other cases where it feels this would be appropriate in order to promote effective learning and improvement action to prevent future deaths or serious harm occurring again</w:t>
      </w:r>
      <w:r w:rsidR="00A339A4" w:rsidRPr="00FE2D93">
        <w:rPr>
          <w:rFonts w:ascii="Arial" w:hAnsi="Arial" w:cs="Arial"/>
        </w:rPr>
        <w:t xml:space="preserve">. This may be where a case can provide useful insights into the way organisations are working together to prevent and reduce abuse and neglect of adults. SAR’s may also be used to explore examples of good practice </w:t>
      </w:r>
      <w:r w:rsidR="00A27A10" w:rsidRPr="00FE2D93">
        <w:rPr>
          <w:rFonts w:ascii="Arial" w:hAnsi="Arial" w:cs="Arial"/>
        </w:rPr>
        <w:t>and</w:t>
      </w:r>
      <w:r w:rsidR="00A339A4" w:rsidRPr="00FE2D93">
        <w:rPr>
          <w:rFonts w:ascii="Arial" w:hAnsi="Arial" w:cs="Arial"/>
        </w:rPr>
        <w:t xml:space="preserve"> lessons</w:t>
      </w:r>
      <w:r w:rsidR="00A27A10" w:rsidRPr="00FE2D93">
        <w:rPr>
          <w:rFonts w:ascii="Arial" w:hAnsi="Arial" w:cs="Arial"/>
        </w:rPr>
        <w:t xml:space="preserve"> learnt </w:t>
      </w:r>
      <w:r w:rsidR="00A339A4" w:rsidRPr="00FE2D93">
        <w:rPr>
          <w:rFonts w:ascii="Arial" w:hAnsi="Arial" w:cs="Arial"/>
        </w:rPr>
        <w:t>that</w:t>
      </w:r>
      <w:r w:rsidR="00A30771" w:rsidRPr="00FE2D93">
        <w:rPr>
          <w:rFonts w:ascii="Arial" w:hAnsi="Arial" w:cs="Arial"/>
        </w:rPr>
        <w:t xml:space="preserve"> </w:t>
      </w:r>
      <w:r w:rsidR="00A27A10" w:rsidRPr="00FE2D93">
        <w:rPr>
          <w:rFonts w:ascii="Arial" w:hAnsi="Arial" w:cs="Arial"/>
        </w:rPr>
        <w:t>may</w:t>
      </w:r>
      <w:r w:rsidR="00A30771" w:rsidRPr="00FE2D93">
        <w:rPr>
          <w:rFonts w:ascii="Arial" w:hAnsi="Arial" w:cs="Arial"/>
        </w:rPr>
        <w:t xml:space="preserve"> be applied to future cases</w:t>
      </w:r>
      <w:r w:rsidR="0001232A" w:rsidRPr="00FE2D93">
        <w:rPr>
          <w:rFonts w:ascii="Arial" w:hAnsi="Arial" w:cs="Arial"/>
        </w:rPr>
        <w:t>.</w:t>
      </w:r>
    </w:p>
    <w:p w:rsidR="00680DD6" w:rsidRPr="00FE2D93" w:rsidRDefault="00680DD6" w:rsidP="005A69A0">
      <w:pPr>
        <w:spacing w:line="360" w:lineRule="auto"/>
      </w:pPr>
    </w:p>
    <w:p w:rsidR="005247A1" w:rsidRPr="00FE2D93" w:rsidRDefault="00F42DF3" w:rsidP="005A69A0">
      <w:pPr>
        <w:spacing w:line="360" w:lineRule="auto"/>
        <w:rPr>
          <w:rFonts w:ascii="Arial" w:hAnsi="Arial" w:cs="Arial"/>
        </w:rPr>
      </w:pPr>
      <w:r w:rsidRPr="00FE2D93">
        <w:rPr>
          <w:rFonts w:ascii="Arial" w:hAnsi="Arial" w:cs="Arial"/>
        </w:rPr>
        <w:t xml:space="preserve">The </w:t>
      </w:r>
      <w:r w:rsidR="00C34C88">
        <w:rPr>
          <w:rFonts w:ascii="Arial" w:hAnsi="Arial" w:cs="Arial"/>
        </w:rPr>
        <w:t>SAR s</w:t>
      </w:r>
      <w:r w:rsidR="00397743" w:rsidRPr="00FE2D93">
        <w:rPr>
          <w:rFonts w:ascii="Arial" w:hAnsi="Arial" w:cs="Arial"/>
        </w:rPr>
        <w:t>ub group</w:t>
      </w:r>
      <w:r w:rsidR="00F92FC3" w:rsidRPr="00FE2D93">
        <w:rPr>
          <w:rFonts w:ascii="Arial" w:hAnsi="Arial" w:cs="Arial"/>
        </w:rPr>
        <w:t xml:space="preserve"> will support the </w:t>
      </w:r>
      <w:r w:rsidR="00C34C88">
        <w:rPr>
          <w:rFonts w:ascii="Arial" w:hAnsi="Arial" w:cs="Arial"/>
        </w:rPr>
        <w:t>R</w:t>
      </w:r>
      <w:r w:rsidR="00F92FC3" w:rsidRPr="00FE2D93">
        <w:rPr>
          <w:rFonts w:ascii="Arial" w:hAnsi="Arial" w:cs="Arial"/>
        </w:rPr>
        <w:t>SAB to ensure robust, transparent and consistent practice in relation to SAR’s by:-</w:t>
      </w:r>
    </w:p>
    <w:p w:rsidR="00C67CCA" w:rsidRPr="00FE2D93" w:rsidRDefault="00F92FC3" w:rsidP="005A69A0">
      <w:pPr>
        <w:numPr>
          <w:ilvl w:val="0"/>
          <w:numId w:val="11"/>
        </w:numPr>
        <w:spacing w:line="360" w:lineRule="auto"/>
        <w:rPr>
          <w:rFonts w:ascii="Arial" w:hAnsi="Arial" w:cs="Arial"/>
        </w:rPr>
      </w:pPr>
      <w:r w:rsidRPr="00FE2D93">
        <w:rPr>
          <w:rFonts w:ascii="Arial" w:hAnsi="Arial" w:cs="Arial"/>
        </w:rPr>
        <w:t xml:space="preserve">Receiving all requests for SAR’s on behalf of the Chair of the </w:t>
      </w:r>
      <w:r w:rsidR="00C34C88">
        <w:rPr>
          <w:rFonts w:ascii="Arial" w:hAnsi="Arial" w:cs="Arial"/>
        </w:rPr>
        <w:t>R</w:t>
      </w:r>
      <w:r w:rsidRPr="00FE2D93">
        <w:rPr>
          <w:rFonts w:ascii="Arial" w:hAnsi="Arial" w:cs="Arial"/>
        </w:rPr>
        <w:t>SAB</w:t>
      </w:r>
      <w:r w:rsidR="00C67CCA" w:rsidRPr="00FE2D93">
        <w:rPr>
          <w:rFonts w:ascii="Arial" w:hAnsi="Arial" w:cs="Arial"/>
        </w:rPr>
        <w:t>.</w:t>
      </w:r>
    </w:p>
    <w:p w:rsidR="005859C4" w:rsidRPr="00FE2D93" w:rsidRDefault="00C67CCA" w:rsidP="005A69A0">
      <w:pPr>
        <w:numPr>
          <w:ilvl w:val="0"/>
          <w:numId w:val="11"/>
        </w:numPr>
        <w:spacing w:line="360" w:lineRule="auto"/>
        <w:rPr>
          <w:rFonts w:ascii="Arial" w:hAnsi="Arial" w:cs="Arial"/>
        </w:rPr>
      </w:pPr>
      <w:r w:rsidRPr="00FE2D93">
        <w:rPr>
          <w:rFonts w:ascii="Arial" w:hAnsi="Arial" w:cs="Arial"/>
        </w:rPr>
        <w:t>M</w:t>
      </w:r>
      <w:r w:rsidR="00F92FC3" w:rsidRPr="00FE2D93">
        <w:rPr>
          <w:rFonts w:ascii="Arial" w:hAnsi="Arial" w:cs="Arial"/>
        </w:rPr>
        <w:t>aking recommendations to the Chair in respect of whether a review should be</w:t>
      </w:r>
      <w:r w:rsidR="00397743" w:rsidRPr="00FE2D93">
        <w:rPr>
          <w:rFonts w:ascii="Arial" w:hAnsi="Arial" w:cs="Arial"/>
        </w:rPr>
        <w:t xml:space="preserve"> </w:t>
      </w:r>
      <w:r w:rsidR="00F92FC3" w:rsidRPr="00FE2D93">
        <w:rPr>
          <w:rFonts w:ascii="Arial" w:hAnsi="Arial" w:cs="Arial"/>
        </w:rPr>
        <w:t>commissioned by referen</w:t>
      </w:r>
      <w:r w:rsidR="006B19CE" w:rsidRPr="00FE2D93">
        <w:rPr>
          <w:rFonts w:ascii="Arial" w:hAnsi="Arial" w:cs="Arial"/>
        </w:rPr>
        <w:t>ce to the statutory criteria set</w:t>
      </w:r>
      <w:r w:rsidR="00F92FC3" w:rsidRPr="00FE2D93">
        <w:rPr>
          <w:rFonts w:ascii="Arial" w:hAnsi="Arial" w:cs="Arial"/>
        </w:rPr>
        <w:t xml:space="preserve"> out below</w:t>
      </w:r>
      <w:r w:rsidR="0001232A" w:rsidRPr="00FE2D93">
        <w:rPr>
          <w:rFonts w:ascii="Arial" w:hAnsi="Arial" w:cs="Arial"/>
        </w:rPr>
        <w:t>.</w:t>
      </w:r>
      <w:r w:rsidR="005859C4" w:rsidRPr="00FE2D93">
        <w:rPr>
          <w:rFonts w:ascii="Arial" w:hAnsi="Arial" w:cs="Arial"/>
        </w:rPr>
        <w:t xml:space="preserve"> </w:t>
      </w:r>
    </w:p>
    <w:p w:rsidR="00F92FC3" w:rsidRPr="00FE2D93" w:rsidRDefault="006B19CE" w:rsidP="005A69A0">
      <w:pPr>
        <w:numPr>
          <w:ilvl w:val="0"/>
          <w:numId w:val="11"/>
        </w:numPr>
        <w:spacing w:line="360" w:lineRule="auto"/>
        <w:rPr>
          <w:rFonts w:ascii="Arial" w:hAnsi="Arial" w:cs="Arial"/>
        </w:rPr>
      </w:pPr>
      <w:r w:rsidRPr="00FE2D93">
        <w:rPr>
          <w:rFonts w:ascii="Arial" w:hAnsi="Arial" w:cs="Arial"/>
        </w:rPr>
        <w:t>Making r</w:t>
      </w:r>
      <w:r w:rsidR="00F92FC3" w:rsidRPr="00FE2D93">
        <w:rPr>
          <w:rFonts w:ascii="Arial" w:hAnsi="Arial" w:cs="Arial"/>
        </w:rPr>
        <w:t xml:space="preserve">ecommendations </w:t>
      </w:r>
      <w:r w:rsidRPr="00FE2D93">
        <w:rPr>
          <w:rFonts w:ascii="Arial" w:hAnsi="Arial" w:cs="Arial"/>
        </w:rPr>
        <w:t>which w</w:t>
      </w:r>
      <w:r w:rsidR="00F92FC3" w:rsidRPr="00FE2D93">
        <w:rPr>
          <w:rFonts w:ascii="Arial" w:hAnsi="Arial" w:cs="Arial"/>
        </w:rPr>
        <w:t>ill include the type, governance and methodology of the review to be undertaken</w:t>
      </w:r>
      <w:r w:rsidR="0001232A" w:rsidRPr="00FE2D93">
        <w:rPr>
          <w:rFonts w:ascii="Arial" w:hAnsi="Arial" w:cs="Arial"/>
        </w:rPr>
        <w:t>.</w:t>
      </w:r>
    </w:p>
    <w:p w:rsidR="005859C4" w:rsidRPr="00FE2D93" w:rsidRDefault="005859C4" w:rsidP="005A69A0">
      <w:pPr>
        <w:numPr>
          <w:ilvl w:val="0"/>
          <w:numId w:val="11"/>
        </w:numPr>
        <w:spacing w:line="360" w:lineRule="auto"/>
        <w:rPr>
          <w:rFonts w:ascii="Arial" w:hAnsi="Arial" w:cs="Arial"/>
        </w:rPr>
      </w:pPr>
      <w:r w:rsidRPr="00FE2D93">
        <w:rPr>
          <w:rFonts w:ascii="Arial" w:hAnsi="Arial" w:cs="Arial"/>
        </w:rPr>
        <w:t>Ensuring that decisions regarding SAR referrals are made within 1 month of the referral being received</w:t>
      </w:r>
      <w:r w:rsidR="0001232A" w:rsidRPr="00FE2D93">
        <w:rPr>
          <w:rFonts w:ascii="Arial" w:hAnsi="Arial" w:cs="Arial"/>
        </w:rPr>
        <w:t>.</w:t>
      </w:r>
    </w:p>
    <w:p w:rsidR="005859C4" w:rsidRPr="00FE2D93" w:rsidRDefault="00F92FC3" w:rsidP="005A69A0">
      <w:pPr>
        <w:numPr>
          <w:ilvl w:val="0"/>
          <w:numId w:val="11"/>
        </w:numPr>
        <w:spacing w:line="360" w:lineRule="auto"/>
        <w:rPr>
          <w:rFonts w:ascii="Arial" w:hAnsi="Arial" w:cs="Arial"/>
        </w:rPr>
      </w:pPr>
      <w:r w:rsidRPr="00FE2D93">
        <w:rPr>
          <w:rFonts w:ascii="Arial" w:hAnsi="Arial" w:cs="Arial"/>
        </w:rPr>
        <w:lastRenderedPageBreak/>
        <w:t xml:space="preserve">Commissioning and overseeing SAR’s and </w:t>
      </w:r>
      <w:r w:rsidR="00C67CCA" w:rsidRPr="00FE2D93">
        <w:rPr>
          <w:rFonts w:ascii="Arial" w:hAnsi="Arial" w:cs="Arial"/>
        </w:rPr>
        <w:t xml:space="preserve">any </w:t>
      </w:r>
      <w:r w:rsidRPr="00FE2D93">
        <w:rPr>
          <w:rFonts w:ascii="Arial" w:hAnsi="Arial" w:cs="Arial"/>
        </w:rPr>
        <w:t>other reviews agreed by the Chair</w:t>
      </w:r>
      <w:r w:rsidR="0001232A" w:rsidRPr="00FE2D93">
        <w:rPr>
          <w:rFonts w:ascii="Arial" w:hAnsi="Arial" w:cs="Arial"/>
        </w:rPr>
        <w:t>.</w:t>
      </w:r>
    </w:p>
    <w:p w:rsidR="00C67CCA" w:rsidRPr="00FE2D93" w:rsidRDefault="005859C4" w:rsidP="005A69A0">
      <w:pPr>
        <w:numPr>
          <w:ilvl w:val="0"/>
          <w:numId w:val="11"/>
        </w:numPr>
        <w:spacing w:line="360" w:lineRule="auto"/>
        <w:rPr>
          <w:rFonts w:ascii="Arial" w:hAnsi="Arial" w:cs="Arial"/>
        </w:rPr>
      </w:pPr>
      <w:r w:rsidRPr="00FE2D93">
        <w:rPr>
          <w:rFonts w:ascii="Arial" w:hAnsi="Arial" w:cs="Arial"/>
        </w:rPr>
        <w:t>Ensuring</w:t>
      </w:r>
      <w:r w:rsidR="00F92FC3" w:rsidRPr="00FE2D93">
        <w:rPr>
          <w:rFonts w:ascii="Arial" w:hAnsi="Arial" w:cs="Arial"/>
        </w:rPr>
        <w:t xml:space="preserve"> that reviews are completed within six months of the Chair’s decision</w:t>
      </w:r>
      <w:r w:rsidR="00C67CCA" w:rsidRPr="00FE2D93">
        <w:rPr>
          <w:rFonts w:ascii="Arial" w:hAnsi="Arial" w:cs="Arial"/>
        </w:rPr>
        <w:t xml:space="preserve">, </w:t>
      </w:r>
      <w:r w:rsidR="00006BC5" w:rsidRPr="00FE2D93">
        <w:rPr>
          <w:rFonts w:ascii="Arial" w:hAnsi="Arial" w:cs="Arial"/>
        </w:rPr>
        <w:t>if</w:t>
      </w:r>
      <w:r w:rsidR="00C67CCA" w:rsidRPr="00FE2D93">
        <w:rPr>
          <w:rFonts w:ascii="Arial" w:hAnsi="Arial" w:cs="Arial"/>
        </w:rPr>
        <w:t xml:space="preserve"> this is not possible because of complexity, </w:t>
      </w:r>
      <w:r w:rsidR="00F92FC3" w:rsidRPr="00FE2D93">
        <w:rPr>
          <w:rFonts w:ascii="Arial" w:hAnsi="Arial" w:cs="Arial"/>
        </w:rPr>
        <w:t xml:space="preserve">reporting </w:t>
      </w:r>
      <w:r w:rsidR="00C67CCA" w:rsidRPr="00FE2D93">
        <w:rPr>
          <w:rFonts w:ascii="Arial" w:hAnsi="Arial" w:cs="Arial"/>
        </w:rPr>
        <w:t xml:space="preserve">this </w:t>
      </w:r>
      <w:r w:rsidR="00F92FC3" w:rsidRPr="00FE2D93">
        <w:rPr>
          <w:rFonts w:ascii="Arial" w:hAnsi="Arial" w:cs="Arial"/>
        </w:rPr>
        <w:t xml:space="preserve">to the </w:t>
      </w:r>
      <w:r w:rsidR="00C34C88">
        <w:rPr>
          <w:rFonts w:ascii="Arial" w:hAnsi="Arial" w:cs="Arial"/>
        </w:rPr>
        <w:t>RSAB</w:t>
      </w:r>
      <w:r w:rsidR="00F92FC3" w:rsidRPr="00FE2D93">
        <w:rPr>
          <w:rFonts w:ascii="Arial" w:hAnsi="Arial" w:cs="Arial"/>
        </w:rPr>
        <w:t xml:space="preserve"> </w:t>
      </w:r>
      <w:r w:rsidR="00C67CCA" w:rsidRPr="00FE2D93">
        <w:rPr>
          <w:rFonts w:ascii="Arial" w:hAnsi="Arial" w:cs="Arial"/>
        </w:rPr>
        <w:t xml:space="preserve">with amended timescales. </w:t>
      </w:r>
    </w:p>
    <w:p w:rsidR="005859C4" w:rsidRPr="00FE2D93" w:rsidRDefault="005859C4" w:rsidP="005A69A0">
      <w:pPr>
        <w:numPr>
          <w:ilvl w:val="0"/>
          <w:numId w:val="11"/>
        </w:numPr>
        <w:spacing w:line="360" w:lineRule="auto"/>
        <w:rPr>
          <w:rFonts w:ascii="Arial" w:hAnsi="Arial" w:cs="Arial"/>
        </w:rPr>
      </w:pPr>
      <w:r w:rsidRPr="00FE2D93">
        <w:rPr>
          <w:rFonts w:ascii="Arial" w:hAnsi="Arial" w:cs="Arial"/>
        </w:rPr>
        <w:t xml:space="preserve">Receiving completed reports to quality assure before presenting to the </w:t>
      </w:r>
      <w:r w:rsidR="00C34C88">
        <w:rPr>
          <w:rFonts w:ascii="Arial" w:hAnsi="Arial" w:cs="Arial"/>
        </w:rPr>
        <w:t xml:space="preserve">RSAB </w:t>
      </w:r>
      <w:r w:rsidRPr="00FE2D93">
        <w:rPr>
          <w:rFonts w:ascii="Arial" w:hAnsi="Arial" w:cs="Arial"/>
        </w:rPr>
        <w:t xml:space="preserve">Chair and </w:t>
      </w:r>
      <w:r w:rsidR="00C34C88">
        <w:rPr>
          <w:rFonts w:ascii="Arial" w:hAnsi="Arial" w:cs="Arial"/>
        </w:rPr>
        <w:t>its members</w:t>
      </w:r>
      <w:r w:rsidR="0001232A" w:rsidRPr="00FE2D93">
        <w:rPr>
          <w:rFonts w:ascii="Arial" w:hAnsi="Arial" w:cs="Arial"/>
        </w:rPr>
        <w:t>.</w:t>
      </w:r>
    </w:p>
    <w:p w:rsidR="008C3087" w:rsidRPr="00FE2D93" w:rsidRDefault="005859C4" w:rsidP="005A69A0">
      <w:pPr>
        <w:numPr>
          <w:ilvl w:val="0"/>
          <w:numId w:val="11"/>
        </w:numPr>
        <w:spacing w:line="360" w:lineRule="auto"/>
        <w:rPr>
          <w:rFonts w:ascii="Arial" w:hAnsi="Arial" w:cs="Arial"/>
        </w:rPr>
      </w:pPr>
      <w:r w:rsidRPr="00FE2D93">
        <w:rPr>
          <w:rFonts w:ascii="Arial" w:hAnsi="Arial" w:cs="Arial"/>
        </w:rPr>
        <w:t xml:space="preserve">Monitoring and reviewing action plans of all SAR’s undertaken in the </w:t>
      </w:r>
      <w:r w:rsidR="00565A55">
        <w:rPr>
          <w:rFonts w:ascii="Arial" w:hAnsi="Arial" w:cs="Arial"/>
        </w:rPr>
        <w:t>RSAB</w:t>
      </w:r>
      <w:r w:rsidRPr="00FE2D93">
        <w:rPr>
          <w:rFonts w:ascii="Arial" w:hAnsi="Arial" w:cs="Arial"/>
        </w:rPr>
        <w:t xml:space="preserve">area and reporting to the </w:t>
      </w:r>
      <w:r w:rsidR="00397743" w:rsidRPr="00FE2D93">
        <w:rPr>
          <w:rFonts w:ascii="Arial" w:hAnsi="Arial" w:cs="Arial"/>
        </w:rPr>
        <w:t>R</w:t>
      </w:r>
      <w:r w:rsidRPr="00FE2D93">
        <w:rPr>
          <w:rFonts w:ascii="Arial" w:hAnsi="Arial" w:cs="Arial"/>
        </w:rPr>
        <w:t>SAB</w:t>
      </w:r>
      <w:r w:rsidR="00565A55">
        <w:rPr>
          <w:rFonts w:ascii="Arial" w:hAnsi="Arial" w:cs="Arial"/>
        </w:rPr>
        <w:t xml:space="preserve"> Chair and its members</w:t>
      </w:r>
      <w:r w:rsidRPr="00FE2D93">
        <w:rPr>
          <w:rFonts w:ascii="Arial" w:hAnsi="Arial" w:cs="Arial"/>
        </w:rPr>
        <w:t xml:space="preserve"> on progress and/or concerns on a </w:t>
      </w:r>
      <w:r w:rsidR="00565A55" w:rsidRPr="00FE2D93">
        <w:rPr>
          <w:rFonts w:ascii="Arial" w:hAnsi="Arial" w:cs="Arial"/>
        </w:rPr>
        <w:t>regular</w:t>
      </w:r>
      <w:r w:rsidRPr="00FE2D93">
        <w:rPr>
          <w:rFonts w:ascii="Arial" w:hAnsi="Arial" w:cs="Arial"/>
        </w:rPr>
        <w:t xml:space="preserve"> basis</w:t>
      </w:r>
      <w:r w:rsidR="0001232A" w:rsidRPr="00FE2D93">
        <w:rPr>
          <w:rFonts w:ascii="Arial" w:hAnsi="Arial" w:cs="Arial"/>
        </w:rPr>
        <w:t>.</w:t>
      </w:r>
    </w:p>
    <w:p w:rsidR="005859C4" w:rsidRPr="00FE2D93" w:rsidRDefault="005859C4" w:rsidP="005A69A0">
      <w:pPr>
        <w:numPr>
          <w:ilvl w:val="0"/>
          <w:numId w:val="11"/>
        </w:numPr>
        <w:spacing w:line="360" w:lineRule="auto"/>
        <w:rPr>
          <w:rFonts w:ascii="Arial" w:hAnsi="Arial" w:cs="Arial"/>
        </w:rPr>
      </w:pPr>
      <w:r w:rsidRPr="00FE2D93">
        <w:rPr>
          <w:rFonts w:ascii="Arial" w:hAnsi="Arial" w:cs="Arial"/>
        </w:rPr>
        <w:t>Ensuring that recommendations arising from each SAR are communicated to all agencies and are subject to review of implementation</w:t>
      </w:r>
      <w:r w:rsidR="0001232A" w:rsidRPr="00FE2D93">
        <w:rPr>
          <w:rFonts w:ascii="Arial" w:hAnsi="Arial" w:cs="Arial"/>
        </w:rPr>
        <w:t>.</w:t>
      </w:r>
      <w:r w:rsidRPr="00FE2D93">
        <w:rPr>
          <w:rFonts w:ascii="Arial" w:hAnsi="Arial" w:cs="Arial"/>
        </w:rPr>
        <w:t xml:space="preserve"> </w:t>
      </w:r>
    </w:p>
    <w:p w:rsidR="007C1D95" w:rsidRPr="00FE2D93" w:rsidRDefault="007C1D95" w:rsidP="007C1D95">
      <w:pPr>
        <w:spacing w:line="360" w:lineRule="auto"/>
        <w:ind w:left="767"/>
        <w:rPr>
          <w:rFonts w:ascii="Arial" w:hAnsi="Arial" w:cs="Arial"/>
        </w:rPr>
      </w:pPr>
    </w:p>
    <w:p w:rsidR="00B90CE2" w:rsidRPr="00FE2D93" w:rsidRDefault="00FA68DC" w:rsidP="0001232A">
      <w:pPr>
        <w:spacing w:line="360" w:lineRule="auto"/>
        <w:rPr>
          <w:rFonts w:ascii="Arial" w:hAnsi="Arial" w:cs="Arial"/>
        </w:rPr>
      </w:pPr>
      <w:r w:rsidRPr="00FE2D93">
        <w:rPr>
          <w:rFonts w:ascii="Arial" w:hAnsi="Arial" w:cs="Arial"/>
        </w:rPr>
        <w:t xml:space="preserve">Where the Chair decides that a SAR should be undertaken, the </w:t>
      </w:r>
      <w:r w:rsidR="00397743" w:rsidRPr="00FE2D93">
        <w:rPr>
          <w:rFonts w:ascii="Arial" w:hAnsi="Arial" w:cs="Arial"/>
        </w:rPr>
        <w:t>sub group</w:t>
      </w:r>
      <w:r w:rsidRPr="00FE2D93">
        <w:rPr>
          <w:rFonts w:ascii="Arial" w:hAnsi="Arial" w:cs="Arial"/>
        </w:rPr>
        <w:t xml:space="preserve"> </w:t>
      </w:r>
      <w:r w:rsidR="00C26396" w:rsidRPr="00FE2D93">
        <w:rPr>
          <w:rFonts w:ascii="Arial" w:hAnsi="Arial" w:cs="Arial"/>
        </w:rPr>
        <w:t>will</w:t>
      </w:r>
      <w:r w:rsidR="008C3087" w:rsidRPr="00FE2D93">
        <w:rPr>
          <w:rFonts w:ascii="Arial" w:hAnsi="Arial" w:cs="Arial"/>
        </w:rPr>
        <w:t>:</w:t>
      </w:r>
    </w:p>
    <w:p w:rsidR="00C26396" w:rsidRPr="00FE2D93" w:rsidRDefault="00EA19E2" w:rsidP="0001232A">
      <w:pPr>
        <w:numPr>
          <w:ilvl w:val="0"/>
          <w:numId w:val="12"/>
        </w:numPr>
        <w:spacing w:line="360" w:lineRule="auto"/>
        <w:rPr>
          <w:rStyle w:val="Emphasis"/>
          <w:rFonts w:ascii="Arial" w:hAnsi="Arial" w:cs="Arial"/>
          <w:i w:val="0"/>
        </w:rPr>
      </w:pPr>
      <w:r w:rsidRPr="00FE2D93">
        <w:rPr>
          <w:rStyle w:val="Emphasis"/>
          <w:rFonts w:ascii="Arial" w:hAnsi="Arial" w:cs="Arial"/>
          <w:i w:val="0"/>
        </w:rPr>
        <w:t>D</w:t>
      </w:r>
      <w:r w:rsidR="00C26396" w:rsidRPr="00FE2D93">
        <w:rPr>
          <w:rStyle w:val="Emphasis"/>
          <w:rFonts w:ascii="Arial" w:hAnsi="Arial" w:cs="Arial"/>
          <w:i w:val="0"/>
        </w:rPr>
        <w:t>etermine who should be involved in the S</w:t>
      </w:r>
      <w:r w:rsidRPr="00FE2D93">
        <w:rPr>
          <w:rStyle w:val="Emphasis"/>
          <w:rFonts w:ascii="Arial" w:hAnsi="Arial" w:cs="Arial"/>
          <w:i w:val="0"/>
        </w:rPr>
        <w:t>AR</w:t>
      </w:r>
      <w:r w:rsidR="00EE1E75" w:rsidRPr="00FE2D93">
        <w:rPr>
          <w:rStyle w:val="Emphasis"/>
          <w:rFonts w:ascii="Arial" w:hAnsi="Arial" w:cs="Arial"/>
          <w:i w:val="0"/>
        </w:rPr>
        <w:t xml:space="preserve"> (which agencies and organisations and whether expe</w:t>
      </w:r>
      <w:r w:rsidR="00382EAC" w:rsidRPr="00FE2D93">
        <w:rPr>
          <w:rStyle w:val="Emphasis"/>
          <w:rFonts w:ascii="Arial" w:hAnsi="Arial" w:cs="Arial"/>
          <w:i w:val="0"/>
        </w:rPr>
        <w:t>r</w:t>
      </w:r>
      <w:r w:rsidR="00EE1E75" w:rsidRPr="00FE2D93">
        <w:rPr>
          <w:rStyle w:val="Emphasis"/>
          <w:rFonts w:ascii="Arial" w:hAnsi="Arial" w:cs="Arial"/>
          <w:i w:val="0"/>
        </w:rPr>
        <w:t>t/specialist advice is required)</w:t>
      </w:r>
      <w:r w:rsidR="007C1D95" w:rsidRPr="00FE2D93">
        <w:rPr>
          <w:rStyle w:val="Emphasis"/>
          <w:rFonts w:ascii="Arial" w:hAnsi="Arial" w:cs="Arial"/>
          <w:i w:val="0"/>
        </w:rPr>
        <w:t>.</w:t>
      </w:r>
    </w:p>
    <w:p w:rsidR="00C26396" w:rsidRPr="00FE2D93" w:rsidRDefault="00EA19E2" w:rsidP="005A69A0">
      <w:pPr>
        <w:numPr>
          <w:ilvl w:val="0"/>
          <w:numId w:val="12"/>
        </w:numPr>
        <w:spacing w:line="360" w:lineRule="auto"/>
        <w:rPr>
          <w:rStyle w:val="Emphasis"/>
          <w:rFonts w:ascii="Arial" w:hAnsi="Arial" w:cs="Arial"/>
          <w:i w:val="0"/>
        </w:rPr>
      </w:pPr>
      <w:r w:rsidRPr="00FE2D93">
        <w:rPr>
          <w:rStyle w:val="Emphasis"/>
          <w:rFonts w:ascii="Arial" w:hAnsi="Arial" w:cs="Arial"/>
          <w:i w:val="0"/>
        </w:rPr>
        <w:t>C</w:t>
      </w:r>
      <w:r w:rsidR="00C26396" w:rsidRPr="00FE2D93">
        <w:rPr>
          <w:rStyle w:val="Emphasis"/>
          <w:rFonts w:ascii="Arial" w:hAnsi="Arial" w:cs="Arial"/>
          <w:i w:val="0"/>
        </w:rPr>
        <w:t xml:space="preserve">ommission </w:t>
      </w:r>
      <w:r w:rsidR="00D056D3" w:rsidRPr="00FE2D93">
        <w:rPr>
          <w:rStyle w:val="Emphasis"/>
          <w:rFonts w:ascii="Arial" w:hAnsi="Arial" w:cs="Arial"/>
          <w:i w:val="0"/>
        </w:rPr>
        <w:t>a Lead reviewer</w:t>
      </w:r>
      <w:r w:rsidR="00382EAC" w:rsidRPr="00FE2D93">
        <w:rPr>
          <w:rStyle w:val="Emphasis"/>
          <w:rFonts w:ascii="Arial" w:hAnsi="Arial" w:cs="Arial"/>
          <w:i w:val="0"/>
        </w:rPr>
        <w:t>(s)</w:t>
      </w:r>
      <w:r w:rsidRPr="00FE2D93">
        <w:rPr>
          <w:rStyle w:val="Emphasis"/>
          <w:rFonts w:ascii="Arial" w:hAnsi="Arial" w:cs="Arial"/>
          <w:i w:val="0"/>
        </w:rPr>
        <w:t xml:space="preserve"> who is independent of the case and of the organisations whose actions are under review</w:t>
      </w:r>
      <w:r w:rsidR="007C1D95" w:rsidRPr="00FE2D93">
        <w:rPr>
          <w:rStyle w:val="Emphasis"/>
          <w:rFonts w:ascii="Arial" w:hAnsi="Arial" w:cs="Arial"/>
          <w:i w:val="0"/>
        </w:rPr>
        <w:t>.</w:t>
      </w:r>
    </w:p>
    <w:p w:rsidR="00453102" w:rsidRPr="00FE2D93" w:rsidRDefault="00453102" w:rsidP="005A69A0">
      <w:pPr>
        <w:numPr>
          <w:ilvl w:val="0"/>
          <w:numId w:val="12"/>
        </w:numPr>
        <w:spacing w:line="360" w:lineRule="auto"/>
        <w:rPr>
          <w:rStyle w:val="Emphasis"/>
          <w:rFonts w:ascii="Arial" w:hAnsi="Arial" w:cs="Arial"/>
          <w:i w:val="0"/>
        </w:rPr>
      </w:pPr>
      <w:r w:rsidRPr="00FE2D93">
        <w:rPr>
          <w:rStyle w:val="Emphasis"/>
          <w:rFonts w:ascii="Arial" w:hAnsi="Arial" w:cs="Arial"/>
          <w:i w:val="0"/>
        </w:rPr>
        <w:t>Consider the involvement of the adult, family or advocate in the SAR process</w:t>
      </w:r>
      <w:r w:rsidR="007C1D95" w:rsidRPr="00FE2D93">
        <w:rPr>
          <w:rStyle w:val="Emphasis"/>
          <w:rFonts w:ascii="Arial" w:hAnsi="Arial" w:cs="Arial"/>
          <w:i w:val="0"/>
        </w:rPr>
        <w:t>.</w:t>
      </w:r>
    </w:p>
    <w:p w:rsidR="00C67CCA" w:rsidRPr="00FE2D93" w:rsidRDefault="00EA19E2" w:rsidP="005A69A0">
      <w:pPr>
        <w:numPr>
          <w:ilvl w:val="0"/>
          <w:numId w:val="12"/>
        </w:numPr>
        <w:spacing w:line="360" w:lineRule="auto"/>
        <w:rPr>
          <w:rStyle w:val="Emphasis"/>
          <w:rFonts w:ascii="Arial" w:hAnsi="Arial" w:cs="Arial"/>
          <w:i w:val="0"/>
        </w:rPr>
      </w:pPr>
      <w:r w:rsidRPr="00FE2D93">
        <w:rPr>
          <w:rStyle w:val="Emphasis"/>
          <w:rFonts w:ascii="Arial" w:hAnsi="Arial" w:cs="Arial"/>
          <w:i w:val="0"/>
        </w:rPr>
        <w:t>E</w:t>
      </w:r>
      <w:r w:rsidR="00D056D3" w:rsidRPr="00FE2D93">
        <w:rPr>
          <w:rStyle w:val="Emphasis"/>
          <w:rFonts w:ascii="Arial" w:hAnsi="Arial" w:cs="Arial"/>
          <w:i w:val="0"/>
        </w:rPr>
        <w:t>nsure</w:t>
      </w:r>
      <w:r w:rsidRPr="00FE2D93">
        <w:rPr>
          <w:rStyle w:val="Emphasis"/>
          <w:rFonts w:ascii="Arial" w:hAnsi="Arial" w:cs="Arial"/>
          <w:i w:val="0"/>
        </w:rPr>
        <w:t xml:space="preserve"> those actions for which the </w:t>
      </w:r>
      <w:r w:rsidR="000913B2" w:rsidRPr="00FE2D93">
        <w:rPr>
          <w:rStyle w:val="Emphasis"/>
          <w:rFonts w:ascii="Arial" w:hAnsi="Arial" w:cs="Arial"/>
          <w:i w:val="0"/>
        </w:rPr>
        <w:t>R</w:t>
      </w:r>
      <w:r w:rsidRPr="00FE2D93">
        <w:rPr>
          <w:rStyle w:val="Emphasis"/>
          <w:rFonts w:ascii="Arial" w:hAnsi="Arial" w:cs="Arial"/>
          <w:i w:val="0"/>
        </w:rPr>
        <w:t>SA</w:t>
      </w:r>
      <w:r w:rsidR="008B5091" w:rsidRPr="00FE2D93">
        <w:rPr>
          <w:rStyle w:val="Emphasis"/>
          <w:rFonts w:ascii="Arial" w:hAnsi="Arial" w:cs="Arial"/>
          <w:i w:val="0"/>
        </w:rPr>
        <w:t xml:space="preserve">B has lead responsibility </w:t>
      </w:r>
      <w:r w:rsidR="00D056D3" w:rsidRPr="00FE2D93">
        <w:rPr>
          <w:rStyle w:val="Emphasis"/>
          <w:rFonts w:ascii="Arial" w:hAnsi="Arial" w:cs="Arial"/>
          <w:i w:val="0"/>
        </w:rPr>
        <w:t>are implemented</w:t>
      </w:r>
      <w:r w:rsidR="00C67CCA" w:rsidRPr="00FE2D93">
        <w:rPr>
          <w:rStyle w:val="Emphasis"/>
          <w:rFonts w:ascii="Arial" w:hAnsi="Arial" w:cs="Arial"/>
          <w:i w:val="0"/>
        </w:rPr>
        <w:t>.</w:t>
      </w:r>
    </w:p>
    <w:p w:rsidR="00C26396" w:rsidRPr="00FE2D93" w:rsidRDefault="00C67CCA" w:rsidP="005A69A0">
      <w:pPr>
        <w:numPr>
          <w:ilvl w:val="0"/>
          <w:numId w:val="12"/>
        </w:numPr>
        <w:spacing w:line="360" w:lineRule="auto"/>
        <w:rPr>
          <w:rStyle w:val="Emphasis"/>
          <w:rFonts w:ascii="Arial" w:hAnsi="Arial" w:cs="Arial"/>
          <w:i w:val="0"/>
        </w:rPr>
      </w:pPr>
      <w:r w:rsidRPr="00FE2D93">
        <w:rPr>
          <w:rStyle w:val="Emphasis"/>
          <w:rFonts w:ascii="Arial" w:hAnsi="Arial" w:cs="Arial"/>
          <w:i w:val="0"/>
        </w:rPr>
        <w:t>M</w:t>
      </w:r>
      <w:r w:rsidR="008B5091" w:rsidRPr="00FE2D93">
        <w:rPr>
          <w:rStyle w:val="Emphasis"/>
          <w:rFonts w:ascii="Arial" w:hAnsi="Arial" w:cs="Arial"/>
          <w:i w:val="0"/>
        </w:rPr>
        <w:t>onitor the</w:t>
      </w:r>
      <w:r w:rsidR="00EA19E2" w:rsidRPr="00FE2D93">
        <w:rPr>
          <w:rStyle w:val="Emphasis"/>
          <w:rFonts w:ascii="Arial" w:hAnsi="Arial" w:cs="Arial"/>
          <w:i w:val="0"/>
        </w:rPr>
        <w:t xml:space="preserve"> timely implementation of the SA</w:t>
      </w:r>
      <w:r w:rsidR="008B5091" w:rsidRPr="00FE2D93">
        <w:rPr>
          <w:rStyle w:val="Emphasis"/>
          <w:rFonts w:ascii="Arial" w:hAnsi="Arial" w:cs="Arial"/>
          <w:i w:val="0"/>
        </w:rPr>
        <w:t>R action plan</w:t>
      </w:r>
      <w:r w:rsidR="00D056D3" w:rsidRPr="00FE2D93">
        <w:rPr>
          <w:rStyle w:val="Emphasis"/>
          <w:rFonts w:ascii="Arial" w:hAnsi="Arial" w:cs="Arial"/>
          <w:i w:val="0"/>
        </w:rPr>
        <w:t>s</w:t>
      </w:r>
      <w:r w:rsidR="007C1D95" w:rsidRPr="00FE2D93">
        <w:rPr>
          <w:rStyle w:val="Emphasis"/>
          <w:rFonts w:ascii="Arial" w:hAnsi="Arial" w:cs="Arial"/>
          <w:i w:val="0"/>
        </w:rPr>
        <w:t>.</w:t>
      </w:r>
    </w:p>
    <w:p w:rsidR="007C1D95" w:rsidRPr="00FE2D93" w:rsidRDefault="007C1D95" w:rsidP="007C1D95">
      <w:pPr>
        <w:spacing w:line="360" w:lineRule="auto"/>
        <w:ind w:left="720"/>
        <w:rPr>
          <w:rStyle w:val="Emphasis"/>
          <w:rFonts w:ascii="Arial" w:hAnsi="Arial" w:cs="Arial"/>
          <w:i w:val="0"/>
        </w:rPr>
      </w:pPr>
    </w:p>
    <w:p w:rsidR="00453102" w:rsidRPr="00FE2D93" w:rsidRDefault="002C70DE" w:rsidP="002C70DE">
      <w:pPr>
        <w:rPr>
          <w:rFonts w:ascii="Arial" w:hAnsi="Arial" w:cs="Arial"/>
        </w:rPr>
      </w:pPr>
      <w:r w:rsidRPr="00FE2D93">
        <w:rPr>
          <w:rStyle w:val="Emphasis"/>
          <w:rFonts w:ascii="Arial" w:hAnsi="Arial" w:cs="Arial"/>
          <w:i w:val="0"/>
          <w:iCs w:val="0"/>
        </w:rPr>
        <w:t xml:space="preserve">When the </w:t>
      </w:r>
      <w:r w:rsidR="00565A55">
        <w:rPr>
          <w:rFonts w:ascii="Arial" w:hAnsi="Arial" w:cs="Arial"/>
        </w:rPr>
        <w:t>s</w:t>
      </w:r>
      <w:r w:rsidR="000913B2" w:rsidRPr="00FE2D93">
        <w:rPr>
          <w:rFonts w:ascii="Arial" w:hAnsi="Arial" w:cs="Arial"/>
        </w:rPr>
        <w:t>ub group</w:t>
      </w:r>
      <w:r w:rsidR="00453102" w:rsidRPr="00FE2D93">
        <w:rPr>
          <w:rFonts w:ascii="Arial" w:hAnsi="Arial" w:cs="Arial"/>
        </w:rPr>
        <w:t xml:space="preserve"> </w:t>
      </w:r>
      <w:r w:rsidRPr="00FE2D93">
        <w:rPr>
          <w:rFonts w:ascii="Arial" w:hAnsi="Arial" w:cs="Arial"/>
        </w:rPr>
        <w:t xml:space="preserve">considers </w:t>
      </w:r>
      <w:r w:rsidR="0080568C" w:rsidRPr="00FE2D93">
        <w:rPr>
          <w:rFonts w:ascii="Arial" w:hAnsi="Arial" w:cs="Arial"/>
        </w:rPr>
        <w:t xml:space="preserve">that the </w:t>
      </w:r>
      <w:r w:rsidR="00006BC5" w:rsidRPr="00FE2D93">
        <w:rPr>
          <w:rFonts w:ascii="Arial" w:hAnsi="Arial" w:cs="Arial"/>
        </w:rPr>
        <w:t>criteria for a SAR have</w:t>
      </w:r>
      <w:r w:rsidRPr="00FE2D93">
        <w:rPr>
          <w:rFonts w:ascii="Arial" w:hAnsi="Arial" w:cs="Arial"/>
        </w:rPr>
        <w:t xml:space="preserve"> not been met, it will</w:t>
      </w:r>
      <w:r w:rsidR="00453102" w:rsidRPr="00FE2D93">
        <w:rPr>
          <w:rFonts w:ascii="Arial" w:hAnsi="Arial" w:cs="Arial"/>
        </w:rPr>
        <w:t>:</w:t>
      </w:r>
    </w:p>
    <w:p w:rsidR="002C70DE" w:rsidRPr="00FE2D93" w:rsidRDefault="002C70DE" w:rsidP="002C70DE">
      <w:pPr>
        <w:rPr>
          <w:rFonts w:ascii="Arial" w:hAnsi="Arial" w:cs="Arial"/>
        </w:rPr>
      </w:pPr>
    </w:p>
    <w:p w:rsidR="00B90CE2" w:rsidRPr="00FE2D93" w:rsidRDefault="00FA68DC">
      <w:pPr>
        <w:numPr>
          <w:ilvl w:val="0"/>
          <w:numId w:val="15"/>
        </w:numPr>
        <w:spacing w:line="360" w:lineRule="auto"/>
      </w:pPr>
      <w:r w:rsidRPr="00FE2D93">
        <w:rPr>
          <w:rFonts w:ascii="Arial" w:hAnsi="Arial" w:cs="Arial"/>
        </w:rPr>
        <w:t xml:space="preserve">Make recommendations to the </w:t>
      </w:r>
      <w:r w:rsidR="000913B2" w:rsidRPr="00FE2D93">
        <w:rPr>
          <w:rFonts w:ascii="Arial" w:hAnsi="Arial" w:cs="Arial"/>
        </w:rPr>
        <w:t>R</w:t>
      </w:r>
      <w:r w:rsidR="00EA19E2" w:rsidRPr="00FE2D93">
        <w:rPr>
          <w:rFonts w:ascii="Arial" w:hAnsi="Arial" w:cs="Arial"/>
        </w:rPr>
        <w:t>SAB</w:t>
      </w:r>
      <w:r w:rsidR="00267728" w:rsidRPr="00FE2D93">
        <w:rPr>
          <w:rFonts w:ascii="Arial" w:hAnsi="Arial" w:cs="Arial"/>
        </w:rPr>
        <w:t xml:space="preserve"> Chair o</w:t>
      </w:r>
      <w:r w:rsidRPr="00FE2D93">
        <w:rPr>
          <w:rFonts w:ascii="Arial" w:hAnsi="Arial" w:cs="Arial"/>
        </w:rPr>
        <w:t>n the possible alternatives</w:t>
      </w:r>
      <w:r w:rsidR="00EA19E2" w:rsidRPr="00FE2D93">
        <w:rPr>
          <w:rFonts w:ascii="Arial" w:hAnsi="Arial" w:cs="Arial"/>
        </w:rPr>
        <w:t xml:space="preserve"> to a SA</w:t>
      </w:r>
      <w:r w:rsidR="00C26396" w:rsidRPr="00FE2D93">
        <w:rPr>
          <w:rFonts w:ascii="Arial" w:hAnsi="Arial" w:cs="Arial"/>
        </w:rPr>
        <w:t>R</w:t>
      </w:r>
      <w:r w:rsidR="00C67CCA" w:rsidRPr="00FE2D93">
        <w:rPr>
          <w:rFonts w:ascii="Arial" w:hAnsi="Arial" w:cs="Arial"/>
        </w:rPr>
        <w:t>.</w:t>
      </w:r>
      <w:r w:rsidR="00C26396" w:rsidRPr="00FE2D93">
        <w:rPr>
          <w:rFonts w:ascii="Arial" w:hAnsi="Arial" w:cs="Arial"/>
        </w:rPr>
        <w:t xml:space="preserve"> </w:t>
      </w:r>
      <w:r w:rsidR="00C67CCA" w:rsidRPr="00FE2D93">
        <w:rPr>
          <w:rFonts w:ascii="Arial" w:hAnsi="Arial" w:cs="Arial"/>
        </w:rPr>
        <w:t>For example</w:t>
      </w:r>
      <w:r w:rsidR="00C26396" w:rsidRPr="00FE2D93">
        <w:rPr>
          <w:rFonts w:ascii="Arial" w:hAnsi="Arial" w:cs="Arial"/>
        </w:rPr>
        <w:t xml:space="preserve"> where there are concerns regarding the role of a single agency, that agency may</w:t>
      </w:r>
      <w:r w:rsidR="00C67CCA" w:rsidRPr="00FE2D93">
        <w:rPr>
          <w:rFonts w:ascii="Arial" w:hAnsi="Arial" w:cs="Arial"/>
        </w:rPr>
        <w:t xml:space="preserve"> </w:t>
      </w:r>
      <w:r w:rsidR="00C26396" w:rsidRPr="00FE2D93">
        <w:rPr>
          <w:rFonts w:ascii="Arial" w:hAnsi="Arial" w:cs="Arial"/>
        </w:rPr>
        <w:t xml:space="preserve">be requested to produce a single </w:t>
      </w:r>
      <w:r w:rsidR="00D056D3" w:rsidRPr="00FE2D93">
        <w:rPr>
          <w:rFonts w:ascii="Arial" w:hAnsi="Arial" w:cs="Arial"/>
        </w:rPr>
        <w:t>agency review</w:t>
      </w:r>
      <w:r w:rsidR="00C67CCA" w:rsidRPr="00FE2D93">
        <w:rPr>
          <w:rFonts w:ascii="Arial" w:hAnsi="Arial" w:cs="Arial"/>
        </w:rPr>
        <w:t>. W</w:t>
      </w:r>
      <w:r w:rsidR="00C26396" w:rsidRPr="00FE2D93">
        <w:rPr>
          <w:rFonts w:ascii="Arial" w:hAnsi="Arial" w:cs="Arial"/>
        </w:rPr>
        <w:t xml:space="preserve">here there are thought to be lessons to be learned </w:t>
      </w:r>
      <w:r w:rsidR="00D056D3" w:rsidRPr="00FE2D93">
        <w:rPr>
          <w:rFonts w:ascii="Arial" w:hAnsi="Arial" w:cs="Arial"/>
        </w:rPr>
        <w:t xml:space="preserve">across more than one agency </w:t>
      </w:r>
      <w:r w:rsidR="000913B2" w:rsidRPr="00FE2D93">
        <w:rPr>
          <w:rFonts w:ascii="Arial" w:hAnsi="Arial" w:cs="Arial"/>
        </w:rPr>
        <w:t xml:space="preserve">a </w:t>
      </w:r>
      <w:r w:rsidR="00E90538" w:rsidRPr="00FE2D93">
        <w:rPr>
          <w:rFonts w:ascii="Arial" w:hAnsi="Arial" w:cs="Arial"/>
        </w:rPr>
        <w:t>recommend</w:t>
      </w:r>
      <w:r w:rsidR="000913B2" w:rsidRPr="00FE2D93">
        <w:rPr>
          <w:rFonts w:ascii="Arial" w:hAnsi="Arial" w:cs="Arial"/>
        </w:rPr>
        <w:t>ation m</w:t>
      </w:r>
      <w:r w:rsidR="00E90538" w:rsidRPr="00FE2D93">
        <w:rPr>
          <w:rFonts w:ascii="Arial" w:hAnsi="Arial" w:cs="Arial"/>
        </w:rPr>
        <w:t>a</w:t>
      </w:r>
      <w:r w:rsidR="000913B2" w:rsidRPr="00FE2D93">
        <w:rPr>
          <w:rFonts w:ascii="Arial" w:hAnsi="Arial" w:cs="Arial"/>
        </w:rPr>
        <w:t xml:space="preserve">y be made for a </w:t>
      </w:r>
      <w:r w:rsidR="00E90538" w:rsidRPr="00FE2D93">
        <w:rPr>
          <w:rFonts w:ascii="Arial" w:hAnsi="Arial" w:cs="Arial"/>
        </w:rPr>
        <w:t xml:space="preserve">systematic </w:t>
      </w:r>
      <w:r w:rsidR="001F1987" w:rsidRPr="00FE2D93">
        <w:rPr>
          <w:rFonts w:ascii="Arial" w:hAnsi="Arial" w:cs="Arial"/>
        </w:rPr>
        <w:t xml:space="preserve">incident </w:t>
      </w:r>
      <w:r w:rsidR="00E90538" w:rsidRPr="00FE2D93">
        <w:rPr>
          <w:rFonts w:ascii="Arial" w:hAnsi="Arial" w:cs="Arial"/>
        </w:rPr>
        <w:t>review</w:t>
      </w:r>
    </w:p>
    <w:p w:rsidR="002C70DE" w:rsidRPr="00FE2D93" w:rsidRDefault="002C70DE">
      <w:pPr>
        <w:numPr>
          <w:ilvl w:val="0"/>
          <w:numId w:val="15"/>
        </w:numPr>
        <w:spacing w:line="360" w:lineRule="auto"/>
      </w:pPr>
      <w:r w:rsidRPr="00FE2D93">
        <w:rPr>
          <w:rFonts w:ascii="Arial" w:hAnsi="Arial" w:cs="Arial"/>
        </w:rPr>
        <w:t>The final decision of whether the criterion has been met and whether SAR will be held will be made by the</w:t>
      </w:r>
      <w:r w:rsidR="00565A55">
        <w:rPr>
          <w:rFonts w:ascii="Arial" w:hAnsi="Arial" w:cs="Arial"/>
        </w:rPr>
        <w:t xml:space="preserve"> RSAB </w:t>
      </w:r>
      <w:r w:rsidRPr="00FE2D93">
        <w:rPr>
          <w:rFonts w:ascii="Arial" w:hAnsi="Arial" w:cs="Arial"/>
        </w:rPr>
        <w:t>Chair.</w:t>
      </w:r>
    </w:p>
    <w:p w:rsidR="0001232A" w:rsidRDefault="0001232A" w:rsidP="005E19EC">
      <w:pPr>
        <w:ind w:left="720"/>
        <w:rPr>
          <w:rFonts w:ascii="Arial" w:hAnsi="Arial" w:cs="Arial"/>
          <w:b/>
        </w:rPr>
      </w:pPr>
    </w:p>
    <w:p w:rsidR="007C1D95" w:rsidRDefault="007C1D95" w:rsidP="0001232A">
      <w:pPr>
        <w:rPr>
          <w:rFonts w:ascii="Arial" w:hAnsi="Arial" w:cs="Arial"/>
          <w:b/>
        </w:rPr>
      </w:pPr>
    </w:p>
    <w:p w:rsidR="00FE2D93" w:rsidRDefault="00FE2D93" w:rsidP="0001232A">
      <w:pPr>
        <w:rPr>
          <w:rFonts w:ascii="Arial" w:hAnsi="Arial" w:cs="Arial"/>
          <w:b/>
        </w:rPr>
      </w:pPr>
    </w:p>
    <w:p w:rsidR="00FE2D93" w:rsidRDefault="00FE2D93" w:rsidP="0001232A">
      <w:pPr>
        <w:rPr>
          <w:rFonts w:ascii="Arial" w:hAnsi="Arial" w:cs="Arial"/>
          <w:b/>
        </w:rPr>
      </w:pPr>
    </w:p>
    <w:p w:rsidR="00FE2D93" w:rsidRDefault="00FE2D93" w:rsidP="0001232A">
      <w:pPr>
        <w:rPr>
          <w:rFonts w:ascii="Arial" w:hAnsi="Arial" w:cs="Arial"/>
          <w:b/>
        </w:rPr>
      </w:pPr>
    </w:p>
    <w:p w:rsidR="00FE2D93" w:rsidRDefault="00FE2D93" w:rsidP="0001232A">
      <w:pPr>
        <w:rPr>
          <w:rFonts w:ascii="Arial" w:hAnsi="Arial" w:cs="Arial"/>
          <w:b/>
        </w:rPr>
      </w:pPr>
    </w:p>
    <w:p w:rsidR="00FE2D93" w:rsidRDefault="00FE2D93" w:rsidP="0001232A">
      <w:pPr>
        <w:rPr>
          <w:rFonts w:ascii="Arial" w:hAnsi="Arial" w:cs="Arial"/>
          <w:b/>
        </w:rPr>
      </w:pPr>
    </w:p>
    <w:p w:rsidR="00FE2D93" w:rsidRDefault="00FE2D93" w:rsidP="0001232A">
      <w:pPr>
        <w:rPr>
          <w:rFonts w:ascii="Arial" w:hAnsi="Arial" w:cs="Arial"/>
          <w:b/>
        </w:rPr>
      </w:pPr>
    </w:p>
    <w:p w:rsidR="00FE2D93" w:rsidRDefault="00FE2D93" w:rsidP="0001232A">
      <w:pPr>
        <w:rPr>
          <w:rFonts w:ascii="Arial" w:hAnsi="Arial" w:cs="Arial"/>
          <w:b/>
        </w:rPr>
      </w:pPr>
    </w:p>
    <w:p w:rsidR="00FE2D93" w:rsidRDefault="00FE2D93" w:rsidP="0001232A">
      <w:pPr>
        <w:rPr>
          <w:rFonts w:ascii="Arial" w:hAnsi="Arial" w:cs="Arial"/>
          <w:b/>
        </w:rPr>
      </w:pPr>
    </w:p>
    <w:p w:rsidR="00FE2D93" w:rsidRDefault="00FE2D93" w:rsidP="0001232A">
      <w:pPr>
        <w:rPr>
          <w:rFonts w:ascii="Arial" w:hAnsi="Arial" w:cs="Arial"/>
          <w:b/>
        </w:rPr>
      </w:pPr>
    </w:p>
    <w:p w:rsidR="00603D77" w:rsidRDefault="00C67CCA" w:rsidP="0001232A">
      <w:pPr>
        <w:rPr>
          <w:rFonts w:ascii="Arial" w:hAnsi="Arial" w:cs="Arial"/>
          <w:b/>
        </w:rPr>
      </w:pPr>
      <w:r>
        <w:rPr>
          <w:rFonts w:ascii="Arial" w:hAnsi="Arial" w:cs="Arial"/>
          <w:b/>
        </w:rPr>
        <w:t xml:space="preserve">Statutory </w:t>
      </w:r>
      <w:r w:rsidR="00AF5AB8" w:rsidRPr="005A69A0">
        <w:rPr>
          <w:rFonts w:ascii="Arial" w:hAnsi="Arial" w:cs="Arial"/>
          <w:b/>
        </w:rPr>
        <w:t>Criteria for C</w:t>
      </w:r>
      <w:r w:rsidR="00A339A4" w:rsidRPr="005A69A0">
        <w:rPr>
          <w:rFonts w:ascii="Arial" w:hAnsi="Arial" w:cs="Arial"/>
          <w:b/>
        </w:rPr>
        <w:t>onducting a Safeguarding Adult Review</w:t>
      </w:r>
    </w:p>
    <w:p w:rsidR="00006BC5" w:rsidRPr="005A69A0" w:rsidRDefault="00006BC5" w:rsidP="0001232A">
      <w:pPr>
        <w:rPr>
          <w:rFonts w:ascii="Arial" w:hAnsi="Arial" w:cs="Arial"/>
          <w:b/>
        </w:rPr>
      </w:pPr>
    </w:p>
    <w:tbl>
      <w:tblPr>
        <w:tblW w:w="9639" w:type="dxa"/>
        <w:tblInd w:w="108" w:type="dxa"/>
        <w:shd w:val="clear" w:color="auto" w:fill="C6D9F1"/>
        <w:tblLook w:val="04A0" w:firstRow="1" w:lastRow="0" w:firstColumn="1" w:lastColumn="0" w:noHBand="0" w:noVBand="1"/>
      </w:tblPr>
      <w:tblGrid>
        <w:gridCol w:w="9639"/>
      </w:tblGrid>
      <w:tr w:rsidR="00382EAC" w:rsidRPr="00750DF3" w:rsidTr="00006BC5">
        <w:trPr>
          <w:trHeight w:val="2646"/>
        </w:trPr>
        <w:tc>
          <w:tcPr>
            <w:tcW w:w="9639" w:type="dxa"/>
            <w:shd w:val="clear" w:color="auto" w:fill="C6D9F1"/>
          </w:tcPr>
          <w:p w:rsidR="00270D26" w:rsidRPr="00270D26" w:rsidRDefault="00270D26" w:rsidP="00270D26">
            <w:pPr>
              <w:tabs>
                <w:tab w:val="left" w:pos="3567"/>
              </w:tabs>
              <w:spacing w:before="120" w:after="120" w:line="360" w:lineRule="auto"/>
              <w:rPr>
                <w:rFonts w:ascii="Arial" w:hAnsi="Arial" w:cs="Arial"/>
                <w:iCs/>
              </w:rPr>
            </w:pPr>
            <w:r w:rsidRPr="00270D26">
              <w:rPr>
                <w:rFonts w:ascii="Arial" w:hAnsi="Arial" w:cs="Arial"/>
                <w:iCs/>
              </w:rPr>
              <w:t>The Safeguarding Adults Board is the only body that can commission a safeguarding adult</w:t>
            </w:r>
            <w:r>
              <w:rPr>
                <w:rFonts w:ascii="Arial" w:hAnsi="Arial" w:cs="Arial"/>
                <w:iCs/>
              </w:rPr>
              <w:t xml:space="preserve"> review.</w:t>
            </w:r>
          </w:p>
          <w:p w:rsidR="00270D26" w:rsidRDefault="00E45455" w:rsidP="00270D26">
            <w:pPr>
              <w:tabs>
                <w:tab w:val="left" w:pos="3567"/>
              </w:tabs>
              <w:spacing w:before="120" w:after="120" w:line="360" w:lineRule="auto"/>
              <w:rPr>
                <w:rFonts w:ascii="Arial" w:hAnsi="Arial" w:cs="Arial"/>
                <w:iCs/>
              </w:rPr>
            </w:pPr>
            <w:r>
              <w:rPr>
                <w:rFonts w:ascii="Arial" w:hAnsi="Arial" w:cs="Arial"/>
                <w:iCs/>
              </w:rPr>
              <w:t>The R</w:t>
            </w:r>
            <w:r w:rsidR="00270D26" w:rsidRPr="00270D26">
              <w:rPr>
                <w:rFonts w:ascii="Arial" w:hAnsi="Arial" w:cs="Arial"/>
                <w:iCs/>
              </w:rPr>
              <w:t>SAB must arrange a safeguarding adult review of a case of an adult in its</w:t>
            </w:r>
            <w:r w:rsidR="00270D26">
              <w:rPr>
                <w:rFonts w:ascii="Arial" w:hAnsi="Arial" w:cs="Arial"/>
                <w:iCs/>
              </w:rPr>
              <w:t xml:space="preserve"> </w:t>
            </w:r>
            <w:r w:rsidR="00270D26" w:rsidRPr="00270D26">
              <w:rPr>
                <w:rFonts w:ascii="Arial" w:hAnsi="Arial" w:cs="Arial"/>
                <w:iCs/>
              </w:rPr>
              <w:t>area with needs of care and support (whether or not the local authority was meeting</w:t>
            </w:r>
            <w:r w:rsidR="00270D26">
              <w:rPr>
                <w:rFonts w:ascii="Arial" w:hAnsi="Arial" w:cs="Arial"/>
                <w:iCs/>
              </w:rPr>
              <w:t xml:space="preserve"> </w:t>
            </w:r>
            <w:r w:rsidR="00270D26" w:rsidRPr="00270D26">
              <w:rPr>
                <w:rFonts w:ascii="Arial" w:hAnsi="Arial" w:cs="Arial"/>
                <w:iCs/>
              </w:rPr>
              <w:t>those needs) if:</w:t>
            </w:r>
          </w:p>
          <w:p w:rsidR="00270D26" w:rsidRPr="00270D26" w:rsidRDefault="00270D26" w:rsidP="00270D26">
            <w:pPr>
              <w:tabs>
                <w:tab w:val="left" w:pos="3567"/>
              </w:tabs>
              <w:spacing w:before="120" w:after="120" w:line="360" w:lineRule="auto"/>
              <w:rPr>
                <w:rFonts w:ascii="Arial" w:hAnsi="Arial" w:cs="Arial"/>
                <w:iCs/>
              </w:rPr>
            </w:pPr>
            <w:r w:rsidRPr="00270D26">
              <w:rPr>
                <w:rFonts w:ascii="Arial" w:hAnsi="Arial" w:cs="Arial"/>
                <w:iCs/>
              </w:rPr>
              <w:t>a) There is reasonable cause for concern about how the SAB, its members or</w:t>
            </w:r>
            <w:r>
              <w:rPr>
                <w:rFonts w:ascii="Arial" w:hAnsi="Arial" w:cs="Arial"/>
                <w:iCs/>
              </w:rPr>
              <w:t xml:space="preserve"> </w:t>
            </w:r>
            <w:r w:rsidRPr="00270D26">
              <w:rPr>
                <w:rFonts w:ascii="Arial" w:hAnsi="Arial" w:cs="Arial"/>
                <w:iCs/>
              </w:rPr>
              <w:t>organisations worked together to safeguard the adult</w:t>
            </w:r>
          </w:p>
          <w:p w:rsidR="00270D26" w:rsidRPr="00270D26" w:rsidRDefault="00270D26" w:rsidP="00270D26">
            <w:pPr>
              <w:tabs>
                <w:tab w:val="left" w:pos="3567"/>
              </w:tabs>
              <w:spacing w:before="120" w:after="120" w:line="360" w:lineRule="auto"/>
              <w:rPr>
                <w:rFonts w:ascii="Arial" w:hAnsi="Arial" w:cs="Arial"/>
                <w:iCs/>
              </w:rPr>
            </w:pPr>
            <w:r w:rsidRPr="00270D26">
              <w:rPr>
                <w:rFonts w:ascii="Arial" w:hAnsi="Arial" w:cs="Arial"/>
                <w:iCs/>
              </w:rPr>
              <w:t>AND</w:t>
            </w:r>
          </w:p>
          <w:p w:rsidR="00270D26" w:rsidRPr="00270D26" w:rsidRDefault="00270D26" w:rsidP="00270D26">
            <w:pPr>
              <w:tabs>
                <w:tab w:val="left" w:pos="3567"/>
              </w:tabs>
              <w:spacing w:before="120" w:after="120" w:line="360" w:lineRule="auto"/>
              <w:rPr>
                <w:rFonts w:ascii="Arial" w:hAnsi="Arial" w:cs="Arial"/>
                <w:iCs/>
              </w:rPr>
            </w:pPr>
            <w:r w:rsidRPr="00270D26">
              <w:rPr>
                <w:rFonts w:ascii="Arial" w:hAnsi="Arial" w:cs="Arial"/>
                <w:iCs/>
              </w:rPr>
              <w:t>b) The person died and the SAB knows/suspects this resulted from abuse or neglect</w:t>
            </w:r>
            <w:r>
              <w:rPr>
                <w:rFonts w:ascii="Arial" w:hAnsi="Arial" w:cs="Arial"/>
                <w:iCs/>
              </w:rPr>
              <w:t xml:space="preserve"> </w:t>
            </w:r>
            <w:r w:rsidRPr="00270D26">
              <w:rPr>
                <w:rFonts w:ascii="Arial" w:hAnsi="Arial" w:cs="Arial"/>
                <w:iCs/>
              </w:rPr>
              <w:t>(whether or not it knew about this before the person died)</w:t>
            </w:r>
          </w:p>
          <w:p w:rsidR="00270D26" w:rsidRPr="00270D26" w:rsidRDefault="00270D26" w:rsidP="00270D26">
            <w:pPr>
              <w:tabs>
                <w:tab w:val="left" w:pos="3567"/>
              </w:tabs>
              <w:spacing w:before="120" w:after="120" w:line="360" w:lineRule="auto"/>
              <w:rPr>
                <w:rFonts w:ascii="Arial" w:hAnsi="Arial" w:cs="Arial"/>
                <w:iCs/>
              </w:rPr>
            </w:pPr>
            <w:r w:rsidRPr="00270D26">
              <w:rPr>
                <w:rFonts w:ascii="Arial" w:hAnsi="Arial" w:cs="Arial"/>
                <w:iCs/>
              </w:rPr>
              <w:t>OR</w:t>
            </w:r>
          </w:p>
          <w:p w:rsidR="00382EAC" w:rsidRPr="0057031D" w:rsidRDefault="00270D26" w:rsidP="00270D26">
            <w:pPr>
              <w:tabs>
                <w:tab w:val="left" w:pos="3567"/>
              </w:tabs>
              <w:spacing w:before="120" w:after="120" w:line="360" w:lineRule="auto"/>
              <w:rPr>
                <w:rStyle w:val="Emphasis"/>
                <w:rFonts w:ascii="Arial" w:hAnsi="Arial" w:cs="Arial"/>
                <w:i w:val="0"/>
              </w:rPr>
            </w:pPr>
            <w:r w:rsidRPr="00270D26">
              <w:rPr>
                <w:rFonts w:ascii="Arial" w:hAnsi="Arial" w:cs="Arial"/>
                <w:iCs/>
              </w:rPr>
              <w:t>c) The person is still alive but the Safeguarding Adults Board knows or suspects they’ve</w:t>
            </w:r>
            <w:r>
              <w:rPr>
                <w:rFonts w:ascii="Arial" w:hAnsi="Arial" w:cs="Arial"/>
                <w:iCs/>
              </w:rPr>
              <w:t xml:space="preserve"> </w:t>
            </w:r>
            <w:r w:rsidRPr="00270D26">
              <w:rPr>
                <w:rFonts w:ascii="Arial" w:hAnsi="Arial" w:cs="Arial"/>
                <w:iCs/>
              </w:rPr>
              <w:t>experienced serious abuse/neglect, sustained potentially life threatening injury,</w:t>
            </w:r>
            <w:r>
              <w:rPr>
                <w:rFonts w:ascii="Arial" w:hAnsi="Arial" w:cs="Arial"/>
                <w:iCs/>
              </w:rPr>
              <w:t xml:space="preserve"> </w:t>
            </w:r>
            <w:r w:rsidRPr="00270D26">
              <w:rPr>
                <w:rFonts w:ascii="Arial" w:hAnsi="Arial" w:cs="Arial"/>
                <w:iCs/>
              </w:rPr>
              <w:t>serious sexual abuse or serious/permanent impairment of health or development.</w:t>
            </w:r>
          </w:p>
        </w:tc>
      </w:tr>
    </w:tbl>
    <w:p w:rsidR="00C67CCA" w:rsidRDefault="00C67CCA" w:rsidP="00DF3631">
      <w:pPr>
        <w:rPr>
          <w:rFonts w:ascii="Arial" w:hAnsi="Arial" w:cs="Arial"/>
          <w:b/>
          <w:color w:val="0084D1"/>
          <w:sz w:val="22"/>
          <w:szCs w:val="22"/>
        </w:rPr>
      </w:pPr>
    </w:p>
    <w:p w:rsidR="00ED4CF4" w:rsidRPr="00ED4CF4" w:rsidRDefault="00ED4CF4" w:rsidP="000913B2">
      <w:pPr>
        <w:jc w:val="both"/>
        <w:rPr>
          <w:rFonts w:ascii="Arial" w:hAnsi="Arial" w:cs="Arial"/>
          <w:b/>
          <w:lang w:eastAsia="en-US"/>
        </w:rPr>
      </w:pPr>
    </w:p>
    <w:p w:rsidR="000913B2" w:rsidRPr="00ED4CF4" w:rsidRDefault="000913B2" w:rsidP="000913B2">
      <w:pPr>
        <w:jc w:val="both"/>
        <w:rPr>
          <w:rFonts w:ascii="Arial" w:hAnsi="Arial" w:cs="Arial"/>
          <w:lang w:eastAsia="en-US"/>
        </w:rPr>
      </w:pPr>
      <w:r w:rsidRPr="00ED4CF4">
        <w:rPr>
          <w:rFonts w:ascii="Arial" w:hAnsi="Arial" w:cs="Arial"/>
          <w:b/>
          <w:lang w:eastAsia="en-US"/>
        </w:rPr>
        <w:t>2.</w:t>
      </w:r>
      <w:r w:rsidRPr="00ED4CF4">
        <w:rPr>
          <w:rFonts w:ascii="Arial" w:hAnsi="Arial" w:cs="Arial"/>
          <w:b/>
          <w:lang w:eastAsia="en-US"/>
        </w:rPr>
        <w:tab/>
        <w:t>Format</w:t>
      </w:r>
    </w:p>
    <w:p w:rsidR="000913B2" w:rsidRPr="00ED4CF4" w:rsidRDefault="000913B2" w:rsidP="00ED4CF4">
      <w:pPr>
        <w:ind w:firstLine="720"/>
        <w:jc w:val="both"/>
        <w:rPr>
          <w:rFonts w:ascii="Arial" w:hAnsi="Arial" w:cs="Arial"/>
          <w:lang w:eastAsia="en-US"/>
        </w:rPr>
      </w:pPr>
    </w:p>
    <w:p w:rsidR="000913B2" w:rsidRPr="00ED4CF4" w:rsidRDefault="000913B2" w:rsidP="00E45455">
      <w:pPr>
        <w:jc w:val="both"/>
        <w:rPr>
          <w:rFonts w:ascii="Arial" w:hAnsi="Arial" w:cs="Arial"/>
          <w:lang w:eastAsia="en-US"/>
        </w:rPr>
      </w:pPr>
      <w:r w:rsidRPr="00ED4CF4">
        <w:rPr>
          <w:rFonts w:ascii="Arial" w:hAnsi="Arial" w:cs="Arial"/>
          <w:lang w:eastAsia="en-US"/>
        </w:rPr>
        <w:t xml:space="preserve">The Assistant </w:t>
      </w:r>
      <w:r w:rsidR="002B3105" w:rsidRPr="00ED4CF4">
        <w:rPr>
          <w:rFonts w:ascii="Arial" w:hAnsi="Arial" w:cs="Arial"/>
          <w:lang w:eastAsia="en-US"/>
        </w:rPr>
        <w:t>Director of Adult Social Care</w:t>
      </w:r>
      <w:r w:rsidRPr="00ED4CF4">
        <w:rPr>
          <w:rFonts w:ascii="Arial" w:hAnsi="Arial" w:cs="Arial"/>
          <w:lang w:eastAsia="en-US"/>
        </w:rPr>
        <w:t xml:space="preserve"> chairs the group with an appointed Deputy Chair from any of the other partner agencies.</w:t>
      </w:r>
    </w:p>
    <w:p w:rsidR="00ED4CF4" w:rsidRPr="00ED4CF4" w:rsidRDefault="00ED4CF4" w:rsidP="00E45455">
      <w:pPr>
        <w:jc w:val="both"/>
        <w:rPr>
          <w:rFonts w:ascii="Arial" w:hAnsi="Arial" w:cs="Arial"/>
          <w:lang w:eastAsia="en-US"/>
        </w:rPr>
      </w:pPr>
    </w:p>
    <w:p w:rsidR="00ED4CF4" w:rsidRPr="00ED4CF4" w:rsidRDefault="00ED4CF4" w:rsidP="00E45455">
      <w:pPr>
        <w:jc w:val="both"/>
        <w:rPr>
          <w:rFonts w:ascii="Arial" w:hAnsi="Arial" w:cs="Arial"/>
          <w:lang w:eastAsia="en-US"/>
        </w:rPr>
      </w:pPr>
      <w:r w:rsidRPr="00ED4CF4">
        <w:rPr>
          <w:rFonts w:ascii="Arial" w:hAnsi="Arial" w:cs="Arial"/>
          <w:lang w:eastAsia="en-US"/>
        </w:rPr>
        <w:t>Meeting of the SAR sub group will be calendared monthly but the group will only met when there is a need.</w:t>
      </w:r>
    </w:p>
    <w:p w:rsidR="00ED4CF4" w:rsidRPr="00ED4CF4" w:rsidRDefault="00ED4CF4" w:rsidP="00E45455">
      <w:pPr>
        <w:jc w:val="both"/>
        <w:rPr>
          <w:rFonts w:ascii="Arial" w:hAnsi="Arial" w:cs="Arial"/>
          <w:lang w:eastAsia="en-US"/>
        </w:rPr>
      </w:pPr>
    </w:p>
    <w:p w:rsidR="00ED4CF4" w:rsidRPr="00ED4CF4" w:rsidRDefault="00ED4CF4" w:rsidP="00E45455">
      <w:pPr>
        <w:jc w:val="both"/>
        <w:rPr>
          <w:rFonts w:ascii="Arial" w:hAnsi="Arial" w:cs="Arial"/>
          <w:lang w:eastAsia="en-US"/>
        </w:rPr>
      </w:pPr>
      <w:r w:rsidRPr="00ED4CF4">
        <w:rPr>
          <w:rFonts w:ascii="Arial" w:hAnsi="Arial" w:cs="Arial"/>
          <w:lang w:eastAsia="en-US"/>
        </w:rPr>
        <w:t xml:space="preserve">Each statutory member agency should nominate a lead officer and deputy with sufficient authority to speak on behalf, feedback and effect necessary changes on issues brought to or arising from the group.  </w:t>
      </w:r>
    </w:p>
    <w:p w:rsidR="000913B2" w:rsidRPr="00ED4CF4" w:rsidRDefault="000913B2" w:rsidP="00E45455">
      <w:pPr>
        <w:ind w:left="1440" w:hanging="720"/>
        <w:jc w:val="both"/>
        <w:rPr>
          <w:rFonts w:ascii="Arial" w:hAnsi="Arial" w:cs="Arial"/>
          <w:lang w:eastAsia="en-US"/>
        </w:rPr>
      </w:pPr>
    </w:p>
    <w:p w:rsidR="00ED4CF4" w:rsidRPr="00ED4CF4" w:rsidRDefault="00ED4CF4" w:rsidP="00E45455">
      <w:pPr>
        <w:ind w:left="1440" w:hanging="720"/>
        <w:jc w:val="both"/>
        <w:rPr>
          <w:rFonts w:ascii="Arial" w:hAnsi="Arial" w:cs="Arial"/>
          <w:lang w:eastAsia="en-US"/>
        </w:rPr>
      </w:pPr>
    </w:p>
    <w:p w:rsidR="00ED4CF4" w:rsidRPr="00ED4CF4" w:rsidRDefault="00ED4CF4" w:rsidP="00E45455">
      <w:pPr>
        <w:ind w:left="1440" w:hanging="720"/>
        <w:jc w:val="both"/>
        <w:rPr>
          <w:rFonts w:ascii="Arial" w:hAnsi="Arial" w:cs="Arial"/>
          <w:lang w:eastAsia="en-US"/>
        </w:rPr>
      </w:pPr>
    </w:p>
    <w:p w:rsidR="000913B2" w:rsidRPr="00ED4CF4" w:rsidRDefault="000913B2" w:rsidP="00E45455">
      <w:pPr>
        <w:tabs>
          <w:tab w:val="left" w:pos="720"/>
        </w:tabs>
        <w:ind w:left="1440" w:hanging="1440"/>
        <w:jc w:val="both"/>
        <w:rPr>
          <w:rFonts w:ascii="Arial" w:hAnsi="Arial" w:cs="Arial"/>
          <w:lang w:eastAsia="en-US"/>
        </w:rPr>
      </w:pPr>
      <w:r w:rsidRPr="00ED4CF4">
        <w:rPr>
          <w:rFonts w:ascii="Arial" w:hAnsi="Arial" w:cs="Arial"/>
          <w:lang w:eastAsia="en-US"/>
        </w:rPr>
        <w:t xml:space="preserve">Terms of Reference for the </w:t>
      </w:r>
      <w:r w:rsidR="002B3105" w:rsidRPr="00ED4CF4">
        <w:rPr>
          <w:rFonts w:ascii="Arial" w:hAnsi="Arial" w:cs="Arial"/>
          <w:lang w:eastAsia="en-US"/>
        </w:rPr>
        <w:t xml:space="preserve">SAR </w:t>
      </w:r>
      <w:r w:rsidR="00565A55">
        <w:rPr>
          <w:rFonts w:ascii="Arial" w:hAnsi="Arial" w:cs="Arial"/>
          <w:lang w:eastAsia="en-US"/>
        </w:rPr>
        <w:t>s</w:t>
      </w:r>
      <w:r w:rsidRPr="00ED4CF4">
        <w:rPr>
          <w:rFonts w:ascii="Arial" w:hAnsi="Arial" w:cs="Arial"/>
          <w:lang w:eastAsia="en-US"/>
        </w:rPr>
        <w:t>ub Group will be reviewed annually.</w:t>
      </w:r>
    </w:p>
    <w:p w:rsidR="0001232A" w:rsidRPr="00ED4CF4" w:rsidRDefault="0001232A" w:rsidP="0001232A">
      <w:pPr>
        <w:pStyle w:val="ListParagraph"/>
        <w:rPr>
          <w:rFonts w:ascii="Arial" w:hAnsi="Arial" w:cs="Arial"/>
          <w:b/>
          <w:color w:val="0084D1"/>
        </w:rPr>
      </w:pPr>
    </w:p>
    <w:p w:rsidR="00ED4CF4" w:rsidRPr="00ED4CF4" w:rsidRDefault="00ED4CF4" w:rsidP="002B3105">
      <w:pPr>
        <w:jc w:val="both"/>
        <w:rPr>
          <w:rFonts w:ascii="Arial" w:hAnsi="Arial" w:cs="Arial"/>
          <w:b/>
          <w:lang w:eastAsia="en-US"/>
        </w:rPr>
      </w:pPr>
    </w:p>
    <w:p w:rsidR="00ED4CF4" w:rsidRPr="00ED4CF4" w:rsidRDefault="00ED4CF4" w:rsidP="002B3105">
      <w:pPr>
        <w:jc w:val="both"/>
        <w:rPr>
          <w:rFonts w:ascii="Arial" w:hAnsi="Arial" w:cs="Arial"/>
          <w:b/>
          <w:lang w:eastAsia="en-US"/>
        </w:rPr>
      </w:pPr>
    </w:p>
    <w:p w:rsidR="00ED4CF4" w:rsidRDefault="00ED4CF4" w:rsidP="002B3105">
      <w:pPr>
        <w:jc w:val="both"/>
        <w:rPr>
          <w:rFonts w:ascii="Arial" w:hAnsi="Arial" w:cs="Arial"/>
          <w:b/>
          <w:sz w:val="22"/>
          <w:szCs w:val="22"/>
          <w:lang w:eastAsia="en-US"/>
        </w:rPr>
      </w:pPr>
    </w:p>
    <w:p w:rsidR="0092279F" w:rsidRDefault="0092279F" w:rsidP="002B3105">
      <w:pPr>
        <w:jc w:val="both"/>
        <w:rPr>
          <w:rFonts w:ascii="Arial" w:hAnsi="Arial" w:cs="Arial"/>
          <w:b/>
          <w:sz w:val="22"/>
          <w:szCs w:val="22"/>
          <w:lang w:eastAsia="en-US"/>
        </w:rPr>
      </w:pPr>
    </w:p>
    <w:p w:rsidR="0092279F" w:rsidRDefault="0092279F" w:rsidP="002B3105">
      <w:pPr>
        <w:jc w:val="both"/>
        <w:rPr>
          <w:rFonts w:ascii="Arial" w:hAnsi="Arial" w:cs="Arial"/>
          <w:b/>
          <w:sz w:val="22"/>
          <w:szCs w:val="22"/>
          <w:lang w:eastAsia="en-US"/>
        </w:rPr>
      </w:pPr>
    </w:p>
    <w:p w:rsidR="00ED4CF4" w:rsidRDefault="00ED4CF4" w:rsidP="002B3105">
      <w:pPr>
        <w:jc w:val="both"/>
        <w:rPr>
          <w:rFonts w:ascii="Arial" w:hAnsi="Arial" w:cs="Arial"/>
          <w:b/>
          <w:sz w:val="22"/>
          <w:szCs w:val="22"/>
          <w:lang w:eastAsia="en-US"/>
        </w:rPr>
      </w:pPr>
    </w:p>
    <w:p w:rsidR="002B3105" w:rsidRPr="00ED4CF4" w:rsidRDefault="002B3105" w:rsidP="002B3105">
      <w:pPr>
        <w:jc w:val="both"/>
        <w:rPr>
          <w:rFonts w:ascii="Arial" w:hAnsi="Arial" w:cs="Arial"/>
          <w:b/>
          <w:lang w:eastAsia="en-US"/>
        </w:rPr>
      </w:pPr>
      <w:r w:rsidRPr="00ED4CF4">
        <w:rPr>
          <w:rFonts w:ascii="Arial" w:hAnsi="Arial" w:cs="Arial"/>
          <w:b/>
          <w:lang w:eastAsia="en-US"/>
        </w:rPr>
        <w:t>3.</w:t>
      </w:r>
      <w:r w:rsidRPr="00ED4CF4">
        <w:rPr>
          <w:rFonts w:ascii="Arial" w:hAnsi="Arial" w:cs="Arial"/>
          <w:b/>
          <w:lang w:eastAsia="en-US"/>
        </w:rPr>
        <w:tab/>
        <w:t xml:space="preserve">Safeguarding Adults </w:t>
      </w:r>
      <w:r w:rsidR="00123CA3" w:rsidRPr="00ED4CF4">
        <w:rPr>
          <w:rFonts w:ascii="Arial" w:hAnsi="Arial" w:cs="Arial"/>
          <w:b/>
          <w:lang w:eastAsia="en-US"/>
        </w:rPr>
        <w:t>Serious Adults Review</w:t>
      </w:r>
      <w:r w:rsidRPr="00ED4CF4">
        <w:rPr>
          <w:rFonts w:ascii="Arial" w:hAnsi="Arial" w:cs="Arial"/>
          <w:b/>
          <w:lang w:eastAsia="en-US"/>
        </w:rPr>
        <w:t xml:space="preserve"> Sub Group Membership:</w:t>
      </w:r>
    </w:p>
    <w:p w:rsidR="002B3105" w:rsidRPr="00ED4CF4" w:rsidRDefault="002B3105" w:rsidP="002B3105">
      <w:pPr>
        <w:jc w:val="both"/>
        <w:rPr>
          <w:rFonts w:ascii="Arial" w:hAnsi="Arial"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68"/>
        <w:gridCol w:w="3935"/>
      </w:tblGrid>
      <w:tr w:rsidR="002B3105" w:rsidRPr="00ED4CF4" w:rsidTr="006607FF">
        <w:tc>
          <w:tcPr>
            <w:tcW w:w="3652" w:type="dxa"/>
            <w:shd w:val="clear" w:color="auto" w:fill="D9D9D9"/>
          </w:tcPr>
          <w:p w:rsidR="002B3105" w:rsidRPr="00ED4CF4" w:rsidRDefault="002B3105" w:rsidP="002B3105">
            <w:pPr>
              <w:rPr>
                <w:rFonts w:ascii="Arial" w:hAnsi="Arial" w:cs="Arial"/>
                <w:b/>
                <w:lang w:eastAsia="en-US"/>
              </w:rPr>
            </w:pPr>
            <w:r w:rsidRPr="00ED4CF4">
              <w:rPr>
                <w:rFonts w:ascii="Arial" w:hAnsi="Arial" w:cs="Arial"/>
                <w:b/>
                <w:lang w:eastAsia="en-US"/>
              </w:rPr>
              <w:t>Organisation and Group Remit</w:t>
            </w:r>
          </w:p>
        </w:tc>
        <w:tc>
          <w:tcPr>
            <w:tcW w:w="2268" w:type="dxa"/>
            <w:shd w:val="clear" w:color="auto" w:fill="D9D9D9"/>
          </w:tcPr>
          <w:p w:rsidR="002B3105" w:rsidRPr="00ED4CF4" w:rsidRDefault="002B3105" w:rsidP="002B3105">
            <w:pPr>
              <w:jc w:val="both"/>
              <w:rPr>
                <w:rFonts w:ascii="Arial" w:hAnsi="Arial" w:cs="Arial"/>
                <w:b/>
                <w:lang w:eastAsia="en-US"/>
              </w:rPr>
            </w:pPr>
            <w:r w:rsidRPr="00ED4CF4">
              <w:rPr>
                <w:rFonts w:ascii="Arial" w:hAnsi="Arial" w:cs="Arial"/>
                <w:b/>
                <w:lang w:eastAsia="en-US"/>
              </w:rPr>
              <w:t>Name</w:t>
            </w:r>
          </w:p>
        </w:tc>
        <w:tc>
          <w:tcPr>
            <w:tcW w:w="3935" w:type="dxa"/>
            <w:shd w:val="clear" w:color="auto" w:fill="D9D9D9"/>
          </w:tcPr>
          <w:p w:rsidR="002B3105" w:rsidRPr="00ED4CF4" w:rsidRDefault="002B3105" w:rsidP="002B3105">
            <w:pPr>
              <w:jc w:val="both"/>
              <w:rPr>
                <w:rFonts w:ascii="Arial" w:hAnsi="Arial" w:cs="Arial"/>
                <w:b/>
                <w:lang w:eastAsia="en-US"/>
              </w:rPr>
            </w:pPr>
            <w:r w:rsidRPr="00ED4CF4">
              <w:rPr>
                <w:rFonts w:ascii="Arial" w:hAnsi="Arial" w:cs="Arial"/>
                <w:b/>
                <w:lang w:eastAsia="en-US"/>
              </w:rPr>
              <w:t>Job Title</w:t>
            </w:r>
          </w:p>
        </w:tc>
      </w:tr>
      <w:tr w:rsidR="002B3105" w:rsidRPr="00ED4CF4" w:rsidTr="006607FF">
        <w:tc>
          <w:tcPr>
            <w:tcW w:w="3652" w:type="dxa"/>
            <w:shd w:val="clear" w:color="auto" w:fill="auto"/>
          </w:tcPr>
          <w:p w:rsidR="002B3105" w:rsidRPr="00ED4CF4" w:rsidRDefault="002B3105" w:rsidP="002B3105">
            <w:pPr>
              <w:rPr>
                <w:rFonts w:ascii="Arial" w:hAnsi="Arial" w:cs="Arial"/>
                <w:b/>
                <w:lang w:eastAsia="en-US"/>
              </w:rPr>
            </w:pPr>
            <w:r w:rsidRPr="00ED4CF4">
              <w:rPr>
                <w:rFonts w:ascii="Arial" w:hAnsi="Arial" w:cs="Arial"/>
                <w:lang w:eastAsia="en-US"/>
              </w:rPr>
              <w:t>Chair</w:t>
            </w:r>
            <w:r w:rsidRPr="00ED4CF4">
              <w:rPr>
                <w:rFonts w:ascii="Arial" w:hAnsi="Arial" w:cs="Arial"/>
                <w:lang w:eastAsia="en-US"/>
              </w:rPr>
              <w:tab/>
            </w:r>
          </w:p>
        </w:tc>
        <w:tc>
          <w:tcPr>
            <w:tcW w:w="2268" w:type="dxa"/>
            <w:shd w:val="clear" w:color="auto" w:fill="auto"/>
          </w:tcPr>
          <w:p w:rsidR="002B3105" w:rsidRPr="00ED4CF4" w:rsidRDefault="00597031" w:rsidP="002B3105">
            <w:pPr>
              <w:jc w:val="both"/>
              <w:rPr>
                <w:rFonts w:ascii="Arial" w:hAnsi="Arial" w:cs="Arial"/>
                <w:b/>
                <w:lang w:eastAsia="en-US"/>
              </w:rPr>
            </w:pPr>
            <w:r>
              <w:rPr>
                <w:rFonts w:ascii="Arial" w:hAnsi="Arial" w:cs="Arial"/>
                <w:lang w:eastAsia="en-US"/>
              </w:rPr>
              <w:t xml:space="preserve">Ian Spicer </w:t>
            </w:r>
          </w:p>
        </w:tc>
        <w:tc>
          <w:tcPr>
            <w:tcW w:w="3935" w:type="dxa"/>
            <w:shd w:val="clear" w:color="auto" w:fill="auto"/>
          </w:tcPr>
          <w:p w:rsidR="002B3105" w:rsidRPr="00ED4CF4" w:rsidRDefault="00597031" w:rsidP="002B3105">
            <w:pPr>
              <w:rPr>
                <w:rFonts w:ascii="Arial" w:hAnsi="Arial" w:cs="Arial"/>
                <w:b/>
                <w:lang w:eastAsia="en-US"/>
              </w:rPr>
            </w:pPr>
            <w:r>
              <w:rPr>
                <w:rFonts w:ascii="Arial" w:hAnsi="Arial" w:cs="Arial"/>
                <w:lang w:eastAsia="en-US"/>
              </w:rPr>
              <w:t>Ass Dir ASC</w:t>
            </w:r>
          </w:p>
        </w:tc>
      </w:tr>
      <w:tr w:rsidR="0092279F" w:rsidRPr="00ED4CF4" w:rsidTr="006607FF">
        <w:tc>
          <w:tcPr>
            <w:tcW w:w="3652" w:type="dxa"/>
            <w:shd w:val="clear" w:color="auto" w:fill="auto"/>
          </w:tcPr>
          <w:p w:rsidR="0092279F" w:rsidRPr="00ED4CF4" w:rsidRDefault="0092279F" w:rsidP="002B3105">
            <w:pPr>
              <w:rPr>
                <w:rFonts w:ascii="Arial" w:hAnsi="Arial" w:cs="Arial"/>
                <w:lang w:eastAsia="en-US"/>
              </w:rPr>
            </w:pPr>
            <w:r w:rsidRPr="00ED4CF4">
              <w:rPr>
                <w:rFonts w:ascii="Arial" w:hAnsi="Arial" w:cs="Arial"/>
                <w:lang w:eastAsia="en-US"/>
              </w:rPr>
              <w:t>Deputy Chair</w:t>
            </w:r>
          </w:p>
        </w:tc>
        <w:tc>
          <w:tcPr>
            <w:tcW w:w="2268" w:type="dxa"/>
            <w:shd w:val="clear" w:color="auto" w:fill="auto"/>
          </w:tcPr>
          <w:p w:rsidR="0092279F" w:rsidRPr="00ED4CF4" w:rsidRDefault="0092279F" w:rsidP="00D91448">
            <w:pPr>
              <w:jc w:val="both"/>
              <w:rPr>
                <w:rFonts w:ascii="Arial" w:hAnsi="Arial" w:cs="Arial"/>
                <w:lang w:eastAsia="en-US"/>
              </w:rPr>
            </w:pPr>
            <w:r>
              <w:rPr>
                <w:rFonts w:ascii="Arial" w:hAnsi="Arial" w:cs="Arial"/>
                <w:lang w:eastAsia="en-US"/>
              </w:rPr>
              <w:t>Andrew Wells</w:t>
            </w:r>
          </w:p>
        </w:tc>
        <w:tc>
          <w:tcPr>
            <w:tcW w:w="3935" w:type="dxa"/>
            <w:shd w:val="clear" w:color="auto" w:fill="auto"/>
          </w:tcPr>
          <w:p w:rsidR="0092279F" w:rsidRPr="00ED4CF4" w:rsidRDefault="0092279F" w:rsidP="00D91448">
            <w:pPr>
              <w:rPr>
                <w:rFonts w:ascii="Arial" w:hAnsi="Arial" w:cs="Arial"/>
                <w:lang w:eastAsia="en-US"/>
              </w:rPr>
            </w:pPr>
            <w:r>
              <w:rPr>
                <w:rFonts w:ascii="Arial" w:hAnsi="Arial" w:cs="Arial"/>
                <w:lang w:eastAsia="en-US"/>
              </w:rPr>
              <w:t>Head of Service Safeguarding</w:t>
            </w:r>
          </w:p>
        </w:tc>
      </w:tr>
      <w:tr w:rsidR="002B3105" w:rsidRPr="00ED4CF4" w:rsidTr="006607FF">
        <w:tc>
          <w:tcPr>
            <w:tcW w:w="3652" w:type="dxa"/>
            <w:shd w:val="clear" w:color="auto" w:fill="auto"/>
          </w:tcPr>
          <w:p w:rsidR="002B3105" w:rsidRPr="00ED4CF4" w:rsidRDefault="002B3105" w:rsidP="002B3105">
            <w:pPr>
              <w:rPr>
                <w:rFonts w:ascii="Arial" w:hAnsi="Arial" w:cs="Arial"/>
                <w:lang w:eastAsia="en-US"/>
              </w:rPr>
            </w:pPr>
            <w:r w:rsidRPr="00ED4CF4">
              <w:rPr>
                <w:rFonts w:ascii="Arial" w:hAnsi="Arial" w:cs="Arial"/>
                <w:lang w:eastAsia="en-US"/>
              </w:rPr>
              <w:t>CCG</w:t>
            </w:r>
          </w:p>
        </w:tc>
        <w:tc>
          <w:tcPr>
            <w:tcW w:w="2268" w:type="dxa"/>
            <w:shd w:val="clear" w:color="auto" w:fill="auto"/>
          </w:tcPr>
          <w:p w:rsidR="002B3105" w:rsidRPr="00ED4CF4" w:rsidRDefault="00C35D7A" w:rsidP="002B3105">
            <w:pPr>
              <w:jc w:val="both"/>
              <w:rPr>
                <w:rFonts w:ascii="Arial" w:hAnsi="Arial" w:cs="Arial"/>
                <w:lang w:eastAsia="en-US"/>
              </w:rPr>
            </w:pPr>
            <w:r>
              <w:rPr>
                <w:rFonts w:ascii="Arial" w:hAnsi="Arial" w:cs="Arial"/>
                <w:lang w:eastAsia="en-US"/>
              </w:rPr>
              <w:t>Rebecca Odell</w:t>
            </w:r>
          </w:p>
        </w:tc>
        <w:tc>
          <w:tcPr>
            <w:tcW w:w="3935" w:type="dxa"/>
            <w:shd w:val="clear" w:color="auto" w:fill="auto"/>
          </w:tcPr>
          <w:p w:rsidR="002B3105" w:rsidRPr="00ED4CF4" w:rsidRDefault="002B3105" w:rsidP="002B3105">
            <w:pPr>
              <w:rPr>
                <w:rFonts w:ascii="Arial" w:hAnsi="Arial" w:cs="Arial"/>
                <w:lang w:eastAsia="en-US"/>
              </w:rPr>
            </w:pPr>
            <w:r w:rsidRPr="00ED4CF4">
              <w:rPr>
                <w:rFonts w:ascii="Arial" w:hAnsi="Arial" w:cs="Arial"/>
                <w:lang w:eastAsia="en-US"/>
              </w:rPr>
              <w:t xml:space="preserve"> Adult Safeguarding</w:t>
            </w:r>
          </w:p>
        </w:tc>
      </w:tr>
      <w:tr w:rsidR="002B3105" w:rsidRPr="00ED4CF4" w:rsidTr="006607FF">
        <w:tc>
          <w:tcPr>
            <w:tcW w:w="3652" w:type="dxa"/>
            <w:shd w:val="clear" w:color="auto" w:fill="auto"/>
          </w:tcPr>
          <w:p w:rsidR="002B3105" w:rsidRPr="00ED4CF4" w:rsidRDefault="002B3105" w:rsidP="002B3105">
            <w:pPr>
              <w:rPr>
                <w:rFonts w:ascii="Arial" w:hAnsi="Arial" w:cs="Arial"/>
                <w:lang w:eastAsia="en-US"/>
              </w:rPr>
            </w:pPr>
            <w:r w:rsidRPr="00ED4CF4">
              <w:rPr>
                <w:rFonts w:ascii="Arial" w:hAnsi="Arial" w:cs="Arial"/>
                <w:lang w:eastAsia="en-US"/>
              </w:rPr>
              <w:t>SYP</w:t>
            </w:r>
          </w:p>
        </w:tc>
        <w:tc>
          <w:tcPr>
            <w:tcW w:w="2268" w:type="dxa"/>
            <w:shd w:val="clear" w:color="auto" w:fill="auto"/>
          </w:tcPr>
          <w:p w:rsidR="002B3105" w:rsidRPr="00ED4CF4" w:rsidRDefault="00597031" w:rsidP="002B3105">
            <w:pPr>
              <w:jc w:val="both"/>
              <w:rPr>
                <w:rFonts w:ascii="Arial" w:hAnsi="Arial" w:cs="Arial"/>
                <w:lang w:eastAsia="en-US"/>
              </w:rPr>
            </w:pPr>
            <w:r>
              <w:rPr>
                <w:rFonts w:ascii="Arial" w:hAnsi="Arial" w:cs="Arial"/>
                <w:lang w:eastAsia="en-US"/>
              </w:rPr>
              <w:t>Gary Thompson</w:t>
            </w:r>
          </w:p>
        </w:tc>
        <w:tc>
          <w:tcPr>
            <w:tcW w:w="3935" w:type="dxa"/>
            <w:shd w:val="clear" w:color="auto" w:fill="auto"/>
          </w:tcPr>
          <w:p w:rsidR="002B3105" w:rsidRPr="00ED4CF4" w:rsidRDefault="002B3105" w:rsidP="002B3105">
            <w:pPr>
              <w:rPr>
                <w:rFonts w:ascii="Arial" w:hAnsi="Arial" w:cs="Arial"/>
                <w:lang w:eastAsia="en-US"/>
              </w:rPr>
            </w:pPr>
            <w:r w:rsidRPr="00ED4CF4">
              <w:rPr>
                <w:rFonts w:ascii="Arial" w:hAnsi="Arial" w:cs="Arial"/>
                <w:lang w:eastAsia="en-US"/>
              </w:rPr>
              <w:t>PVP Policy and Compliance</w:t>
            </w:r>
          </w:p>
        </w:tc>
      </w:tr>
      <w:tr w:rsidR="002B3105" w:rsidRPr="00ED4CF4" w:rsidTr="006607FF">
        <w:tc>
          <w:tcPr>
            <w:tcW w:w="3652" w:type="dxa"/>
            <w:shd w:val="clear" w:color="auto" w:fill="auto"/>
          </w:tcPr>
          <w:p w:rsidR="002B3105" w:rsidRPr="00ED4CF4" w:rsidRDefault="002B3105" w:rsidP="002B3105">
            <w:pPr>
              <w:rPr>
                <w:rFonts w:ascii="Arial" w:hAnsi="Arial" w:cs="Arial"/>
                <w:lang w:eastAsia="en-US"/>
              </w:rPr>
            </w:pPr>
            <w:r w:rsidRPr="00ED4CF4">
              <w:rPr>
                <w:rFonts w:ascii="Arial" w:hAnsi="Arial" w:cs="Arial"/>
                <w:lang w:eastAsia="en-US"/>
              </w:rPr>
              <w:t>RMBC</w:t>
            </w:r>
          </w:p>
        </w:tc>
        <w:tc>
          <w:tcPr>
            <w:tcW w:w="2268" w:type="dxa"/>
            <w:shd w:val="clear" w:color="auto" w:fill="auto"/>
          </w:tcPr>
          <w:p w:rsidR="002B3105" w:rsidRPr="00ED4CF4" w:rsidRDefault="002B3105" w:rsidP="002B3105">
            <w:pPr>
              <w:jc w:val="both"/>
              <w:rPr>
                <w:rFonts w:ascii="Arial" w:hAnsi="Arial" w:cs="Arial"/>
                <w:lang w:eastAsia="en-US"/>
              </w:rPr>
            </w:pPr>
            <w:r w:rsidRPr="00ED4CF4">
              <w:rPr>
                <w:rFonts w:ascii="Arial" w:hAnsi="Arial" w:cs="Arial"/>
                <w:lang w:eastAsia="en-US"/>
              </w:rPr>
              <w:t>Jacqui Clarke</w:t>
            </w:r>
          </w:p>
        </w:tc>
        <w:tc>
          <w:tcPr>
            <w:tcW w:w="3935" w:type="dxa"/>
            <w:shd w:val="clear" w:color="auto" w:fill="auto"/>
          </w:tcPr>
          <w:p w:rsidR="002B3105" w:rsidRPr="00ED4CF4" w:rsidRDefault="002B3105" w:rsidP="002B3105">
            <w:pPr>
              <w:rPr>
                <w:rFonts w:ascii="Arial" w:hAnsi="Arial" w:cs="Arial"/>
                <w:lang w:eastAsia="en-US"/>
              </w:rPr>
            </w:pPr>
            <w:r w:rsidRPr="00ED4CF4">
              <w:rPr>
                <w:rFonts w:ascii="Arial" w:hAnsi="Arial" w:cs="Arial"/>
                <w:lang w:eastAsia="en-US"/>
              </w:rPr>
              <w:t xml:space="preserve">Commissioning </w:t>
            </w:r>
          </w:p>
        </w:tc>
      </w:tr>
      <w:tr w:rsidR="002B3105" w:rsidRPr="00ED4CF4" w:rsidTr="006607FF">
        <w:tc>
          <w:tcPr>
            <w:tcW w:w="3652" w:type="dxa"/>
            <w:shd w:val="clear" w:color="auto" w:fill="auto"/>
          </w:tcPr>
          <w:p w:rsidR="002B3105" w:rsidRPr="00ED4CF4" w:rsidRDefault="002B3105" w:rsidP="002B3105">
            <w:pPr>
              <w:rPr>
                <w:rFonts w:ascii="Arial" w:hAnsi="Arial" w:cs="Arial"/>
                <w:lang w:eastAsia="en-US"/>
              </w:rPr>
            </w:pPr>
            <w:r w:rsidRPr="00ED4CF4">
              <w:rPr>
                <w:rFonts w:ascii="Arial" w:hAnsi="Arial" w:cs="Arial"/>
                <w:lang w:eastAsia="en-US"/>
              </w:rPr>
              <w:t>RSAB</w:t>
            </w:r>
          </w:p>
        </w:tc>
        <w:tc>
          <w:tcPr>
            <w:tcW w:w="2268" w:type="dxa"/>
            <w:shd w:val="clear" w:color="auto" w:fill="auto"/>
          </w:tcPr>
          <w:p w:rsidR="002B3105" w:rsidRPr="00ED4CF4" w:rsidRDefault="002B3105" w:rsidP="002B3105">
            <w:pPr>
              <w:jc w:val="both"/>
              <w:rPr>
                <w:rFonts w:ascii="Arial" w:hAnsi="Arial" w:cs="Arial"/>
                <w:lang w:eastAsia="en-US"/>
              </w:rPr>
            </w:pPr>
            <w:r w:rsidRPr="00ED4CF4">
              <w:rPr>
                <w:rFonts w:ascii="Arial" w:hAnsi="Arial" w:cs="Arial"/>
                <w:lang w:eastAsia="en-US"/>
              </w:rPr>
              <w:t>Jackie Scantlebury</w:t>
            </w:r>
          </w:p>
        </w:tc>
        <w:tc>
          <w:tcPr>
            <w:tcW w:w="3935" w:type="dxa"/>
            <w:shd w:val="clear" w:color="auto" w:fill="auto"/>
          </w:tcPr>
          <w:p w:rsidR="002B3105" w:rsidRPr="00ED4CF4" w:rsidRDefault="002B3105" w:rsidP="002B3105">
            <w:pPr>
              <w:rPr>
                <w:rFonts w:ascii="Arial" w:hAnsi="Arial" w:cs="Arial"/>
                <w:lang w:eastAsia="en-US"/>
              </w:rPr>
            </w:pPr>
            <w:r w:rsidRPr="00ED4CF4">
              <w:rPr>
                <w:rFonts w:ascii="Arial" w:hAnsi="Arial" w:cs="Arial"/>
                <w:lang w:eastAsia="en-US"/>
              </w:rPr>
              <w:t>Safeguarding Adult Board Manager</w:t>
            </w:r>
          </w:p>
        </w:tc>
      </w:tr>
      <w:tr w:rsidR="002B3105" w:rsidRPr="00ED4CF4" w:rsidTr="006607FF">
        <w:tc>
          <w:tcPr>
            <w:tcW w:w="3652" w:type="dxa"/>
            <w:shd w:val="clear" w:color="auto" w:fill="auto"/>
          </w:tcPr>
          <w:p w:rsidR="002B3105" w:rsidRPr="00ED4CF4" w:rsidRDefault="002B3105" w:rsidP="002B3105">
            <w:pPr>
              <w:rPr>
                <w:rFonts w:ascii="Arial" w:hAnsi="Arial" w:cs="Arial"/>
                <w:lang w:eastAsia="en-US"/>
              </w:rPr>
            </w:pPr>
            <w:r w:rsidRPr="00ED4CF4">
              <w:rPr>
                <w:rFonts w:ascii="Arial" w:hAnsi="Arial" w:cs="Arial"/>
                <w:lang w:eastAsia="en-US"/>
              </w:rPr>
              <w:t>CCG</w:t>
            </w:r>
          </w:p>
        </w:tc>
        <w:tc>
          <w:tcPr>
            <w:tcW w:w="2268" w:type="dxa"/>
            <w:shd w:val="clear" w:color="auto" w:fill="auto"/>
          </w:tcPr>
          <w:p w:rsidR="002B3105" w:rsidRPr="00ED4CF4" w:rsidRDefault="002B3105" w:rsidP="002B3105">
            <w:pPr>
              <w:jc w:val="both"/>
              <w:rPr>
                <w:rFonts w:ascii="Arial" w:hAnsi="Arial" w:cs="Arial"/>
                <w:lang w:eastAsia="en-US"/>
              </w:rPr>
            </w:pPr>
            <w:r w:rsidRPr="00ED4CF4">
              <w:rPr>
                <w:rFonts w:ascii="Arial" w:hAnsi="Arial" w:cs="Arial"/>
                <w:lang w:eastAsia="en-US"/>
              </w:rPr>
              <w:t>Dr Leigh Oughton</w:t>
            </w:r>
          </w:p>
        </w:tc>
        <w:tc>
          <w:tcPr>
            <w:tcW w:w="3935" w:type="dxa"/>
            <w:shd w:val="clear" w:color="auto" w:fill="auto"/>
          </w:tcPr>
          <w:p w:rsidR="002B3105" w:rsidRPr="00ED4CF4" w:rsidRDefault="00565A55" w:rsidP="002B3105">
            <w:pPr>
              <w:rPr>
                <w:rFonts w:ascii="Arial" w:hAnsi="Arial" w:cs="Arial"/>
                <w:lang w:eastAsia="en-US"/>
              </w:rPr>
            </w:pPr>
            <w:r>
              <w:rPr>
                <w:rFonts w:ascii="Arial" w:hAnsi="Arial" w:cs="Arial"/>
                <w:lang w:eastAsia="en-US"/>
              </w:rPr>
              <w:t>Named GP Safeguarding Vulnerable adults</w:t>
            </w:r>
          </w:p>
        </w:tc>
      </w:tr>
      <w:tr w:rsidR="002B3105" w:rsidRPr="00ED4CF4" w:rsidTr="006607FF">
        <w:tc>
          <w:tcPr>
            <w:tcW w:w="3652" w:type="dxa"/>
            <w:shd w:val="clear" w:color="auto" w:fill="auto"/>
          </w:tcPr>
          <w:p w:rsidR="002B3105" w:rsidRPr="00ED4CF4" w:rsidRDefault="002B3105" w:rsidP="002B3105">
            <w:pPr>
              <w:rPr>
                <w:rFonts w:ascii="Arial" w:hAnsi="Arial" w:cs="Arial"/>
                <w:lang w:eastAsia="en-US"/>
              </w:rPr>
            </w:pPr>
            <w:r w:rsidRPr="00ED4CF4">
              <w:rPr>
                <w:rFonts w:ascii="Arial" w:hAnsi="Arial" w:cs="Arial"/>
                <w:lang w:eastAsia="en-US"/>
              </w:rPr>
              <w:t>TRFT</w:t>
            </w:r>
          </w:p>
        </w:tc>
        <w:tc>
          <w:tcPr>
            <w:tcW w:w="2268" w:type="dxa"/>
            <w:shd w:val="clear" w:color="auto" w:fill="auto"/>
          </w:tcPr>
          <w:p w:rsidR="002B3105" w:rsidRPr="00ED4CF4" w:rsidRDefault="002B3105" w:rsidP="0092279F">
            <w:pPr>
              <w:rPr>
                <w:rFonts w:ascii="Arial" w:hAnsi="Arial" w:cs="Arial"/>
                <w:b/>
              </w:rPr>
            </w:pPr>
            <w:r w:rsidRPr="00ED4CF4">
              <w:rPr>
                <w:rFonts w:ascii="Arial" w:hAnsi="Arial" w:cs="Arial"/>
              </w:rPr>
              <w:t>June Lovett</w:t>
            </w:r>
            <w:r w:rsidR="0092279F">
              <w:rPr>
                <w:rFonts w:ascii="Arial" w:hAnsi="Arial" w:cs="Arial"/>
              </w:rPr>
              <w:t>/Jean Summerfield</w:t>
            </w:r>
          </w:p>
        </w:tc>
        <w:tc>
          <w:tcPr>
            <w:tcW w:w="3935" w:type="dxa"/>
            <w:shd w:val="clear" w:color="auto" w:fill="auto"/>
          </w:tcPr>
          <w:p w:rsidR="002B3105" w:rsidRPr="00ED4CF4" w:rsidRDefault="002B3105" w:rsidP="006607FF">
            <w:pPr>
              <w:rPr>
                <w:rFonts w:ascii="Arial" w:hAnsi="Arial" w:cs="Arial"/>
                <w:b/>
              </w:rPr>
            </w:pPr>
            <w:r w:rsidRPr="00ED4CF4">
              <w:rPr>
                <w:rFonts w:ascii="Arial" w:hAnsi="Arial" w:cs="Arial"/>
              </w:rPr>
              <w:t>Assistant Chief Nurse (Vulnerabilities)</w:t>
            </w:r>
          </w:p>
        </w:tc>
      </w:tr>
      <w:tr w:rsidR="00565A55" w:rsidRPr="00ED4CF4" w:rsidTr="006607FF">
        <w:tc>
          <w:tcPr>
            <w:tcW w:w="3652" w:type="dxa"/>
            <w:shd w:val="clear" w:color="auto" w:fill="auto"/>
          </w:tcPr>
          <w:p w:rsidR="00565A55" w:rsidRPr="00ED4CF4" w:rsidRDefault="00565A55" w:rsidP="002B3105">
            <w:pPr>
              <w:rPr>
                <w:rFonts w:ascii="Arial" w:hAnsi="Arial" w:cs="Arial"/>
                <w:lang w:eastAsia="en-US"/>
              </w:rPr>
            </w:pPr>
            <w:r>
              <w:rPr>
                <w:rFonts w:ascii="Arial" w:hAnsi="Arial" w:cs="Arial"/>
                <w:lang w:eastAsia="en-US"/>
              </w:rPr>
              <w:t>RDASH</w:t>
            </w:r>
          </w:p>
        </w:tc>
        <w:tc>
          <w:tcPr>
            <w:tcW w:w="2268" w:type="dxa"/>
            <w:shd w:val="clear" w:color="auto" w:fill="auto"/>
          </w:tcPr>
          <w:p w:rsidR="00565A55" w:rsidRPr="00ED4CF4" w:rsidRDefault="0092279F" w:rsidP="006607FF">
            <w:pPr>
              <w:jc w:val="both"/>
              <w:rPr>
                <w:rFonts w:ascii="Arial" w:hAnsi="Arial" w:cs="Arial"/>
              </w:rPr>
            </w:pPr>
            <w:r>
              <w:rPr>
                <w:rFonts w:ascii="Arial" w:hAnsi="Arial" w:cs="Arial"/>
                <w:lang w:eastAsia="en-US"/>
              </w:rPr>
              <w:t>Kate Baxendale</w:t>
            </w:r>
          </w:p>
        </w:tc>
        <w:tc>
          <w:tcPr>
            <w:tcW w:w="3935" w:type="dxa"/>
            <w:shd w:val="clear" w:color="auto" w:fill="auto"/>
          </w:tcPr>
          <w:p w:rsidR="00565A55" w:rsidRPr="00ED4CF4" w:rsidRDefault="0092279F" w:rsidP="0092279F">
            <w:pPr>
              <w:rPr>
                <w:rFonts w:ascii="Arial" w:hAnsi="Arial" w:cs="Arial"/>
              </w:rPr>
            </w:pPr>
            <w:r>
              <w:rPr>
                <w:rFonts w:ascii="Arial" w:hAnsi="Arial" w:cs="Arial"/>
              </w:rPr>
              <w:t xml:space="preserve">Nurse </w:t>
            </w:r>
            <w:r w:rsidRPr="0092279F">
              <w:rPr>
                <w:rFonts w:ascii="Arial" w:hAnsi="Arial" w:cs="Arial"/>
              </w:rPr>
              <w:t xml:space="preserve">Consultant </w:t>
            </w:r>
            <w:r>
              <w:rPr>
                <w:rFonts w:ascii="Arial" w:hAnsi="Arial" w:cs="Arial"/>
              </w:rPr>
              <w:t xml:space="preserve">Safeguarding </w:t>
            </w:r>
          </w:p>
        </w:tc>
      </w:tr>
    </w:tbl>
    <w:p w:rsidR="007A414E" w:rsidRDefault="007A414E" w:rsidP="005A69A0">
      <w:pPr>
        <w:spacing w:line="360" w:lineRule="auto"/>
        <w:rPr>
          <w:rFonts w:ascii="Arial" w:hAnsi="Arial" w:cs="Arial"/>
          <w:b/>
          <w:color w:val="0084D1"/>
        </w:rPr>
      </w:pPr>
    </w:p>
    <w:p w:rsidR="0087181E" w:rsidRPr="0087181E" w:rsidRDefault="0087181E" w:rsidP="0087181E">
      <w:pPr>
        <w:spacing w:before="120"/>
        <w:ind w:right="-180"/>
        <w:jc w:val="both"/>
        <w:rPr>
          <w:rFonts w:ascii="Arial" w:hAnsi="Arial" w:cs="Arial"/>
          <w:sz w:val="22"/>
          <w:szCs w:val="22"/>
          <w:lang w:eastAsia="en-US"/>
        </w:rPr>
      </w:pPr>
      <w:r w:rsidRPr="0087181E">
        <w:rPr>
          <w:rFonts w:ascii="Arial" w:hAnsi="Arial" w:cs="Arial"/>
          <w:b/>
          <w:sz w:val="22"/>
          <w:szCs w:val="22"/>
          <w:lang w:eastAsia="en-US"/>
        </w:rPr>
        <w:t>NB:</w:t>
      </w:r>
      <w:r w:rsidRPr="0087181E">
        <w:rPr>
          <w:rFonts w:ascii="Arial" w:hAnsi="Arial" w:cs="Arial"/>
          <w:b/>
          <w:sz w:val="22"/>
          <w:szCs w:val="22"/>
          <w:lang w:eastAsia="en-US"/>
        </w:rPr>
        <w:tab/>
      </w:r>
      <w:r w:rsidRPr="0087181E">
        <w:rPr>
          <w:rFonts w:ascii="Arial" w:hAnsi="Arial" w:cs="Arial"/>
          <w:sz w:val="22"/>
          <w:szCs w:val="22"/>
          <w:lang w:eastAsia="en-US"/>
        </w:rPr>
        <w:t xml:space="preserve">Other partner agencies will be co-opted as appropriate to the Safeguarding Adults </w:t>
      </w:r>
      <w:r>
        <w:rPr>
          <w:rFonts w:ascii="Arial" w:hAnsi="Arial" w:cs="Arial"/>
          <w:sz w:val="22"/>
          <w:szCs w:val="22"/>
          <w:lang w:eastAsia="en-US"/>
        </w:rPr>
        <w:t xml:space="preserve">Review </w:t>
      </w:r>
      <w:r w:rsidRPr="0087181E">
        <w:rPr>
          <w:rFonts w:ascii="Arial" w:hAnsi="Arial" w:cs="Arial"/>
          <w:sz w:val="22"/>
          <w:szCs w:val="22"/>
          <w:lang w:eastAsia="en-US"/>
        </w:rPr>
        <w:t xml:space="preserve">Sub Group </w:t>
      </w:r>
      <w:r w:rsidR="0092279F">
        <w:rPr>
          <w:rFonts w:ascii="Arial" w:hAnsi="Arial" w:cs="Arial"/>
          <w:sz w:val="22"/>
          <w:szCs w:val="22"/>
          <w:lang w:eastAsia="en-US"/>
        </w:rPr>
        <w:t>if their expertise is required</w:t>
      </w:r>
      <w:r w:rsidRPr="0087181E">
        <w:rPr>
          <w:rFonts w:ascii="Arial" w:hAnsi="Arial" w:cs="Arial"/>
          <w:sz w:val="22"/>
          <w:szCs w:val="22"/>
          <w:lang w:eastAsia="en-US"/>
        </w:rPr>
        <w:t>.</w:t>
      </w:r>
    </w:p>
    <w:p w:rsidR="0087181E" w:rsidRPr="0087181E" w:rsidRDefault="0087181E" w:rsidP="0087181E">
      <w:pPr>
        <w:ind w:right="-180"/>
        <w:rPr>
          <w:rFonts w:ascii="Arial" w:hAnsi="Arial"/>
          <w:sz w:val="22"/>
          <w:szCs w:val="22"/>
          <w:lang w:eastAsia="en-US"/>
        </w:rPr>
      </w:pPr>
    </w:p>
    <w:p w:rsidR="0087181E" w:rsidRPr="0087181E" w:rsidRDefault="0087181E" w:rsidP="0087181E">
      <w:pPr>
        <w:ind w:right="-180"/>
        <w:rPr>
          <w:rFonts w:ascii="Arial" w:hAnsi="Arial"/>
          <w:sz w:val="22"/>
          <w:szCs w:val="22"/>
          <w:lang w:eastAsia="en-US"/>
        </w:rPr>
      </w:pPr>
      <w:r w:rsidRPr="0087181E">
        <w:rPr>
          <w:rFonts w:ascii="Arial" w:hAnsi="Arial"/>
          <w:sz w:val="22"/>
          <w:szCs w:val="22"/>
          <w:lang w:eastAsia="en-US"/>
        </w:rPr>
        <w:t xml:space="preserve">Review Date: </w:t>
      </w:r>
      <w:r>
        <w:rPr>
          <w:rFonts w:ascii="Arial" w:hAnsi="Arial"/>
          <w:sz w:val="22"/>
          <w:szCs w:val="22"/>
          <w:lang w:eastAsia="en-US"/>
        </w:rPr>
        <w:t>March 2020</w:t>
      </w:r>
    </w:p>
    <w:p w:rsidR="0087181E" w:rsidRPr="00ED4CF4" w:rsidRDefault="0087181E" w:rsidP="005A69A0">
      <w:pPr>
        <w:spacing w:line="360" w:lineRule="auto"/>
        <w:rPr>
          <w:rFonts w:ascii="Arial" w:hAnsi="Arial" w:cs="Arial"/>
          <w:b/>
          <w:color w:val="0084D1"/>
        </w:rPr>
      </w:pPr>
    </w:p>
    <w:sectPr w:rsidR="0087181E" w:rsidRPr="00ED4CF4" w:rsidSect="002E17EB">
      <w:footerReference w:type="default" r:id="rId10"/>
      <w:pgSz w:w="11906" w:h="16838" w:code="9"/>
      <w:pgMar w:top="1080" w:right="1080" w:bottom="1080" w:left="108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687" w:rsidRDefault="00660687">
      <w:r>
        <w:separator/>
      </w:r>
    </w:p>
  </w:endnote>
  <w:endnote w:type="continuationSeparator" w:id="0">
    <w:p w:rsidR="00660687" w:rsidRDefault="0066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033"/>
      <w:gridCol w:w="8929"/>
    </w:tblGrid>
    <w:tr w:rsidR="002E17EB" w:rsidTr="002E17EB">
      <w:tc>
        <w:tcPr>
          <w:tcW w:w="918" w:type="dxa"/>
        </w:tcPr>
        <w:p w:rsidR="002E17EB" w:rsidRPr="0092279F" w:rsidRDefault="002E17EB">
          <w:pPr>
            <w:pStyle w:val="Footer"/>
            <w:jc w:val="right"/>
            <w:rPr>
              <w:rFonts w:ascii="Arial" w:hAnsi="Arial" w:cs="Arial"/>
              <w:b/>
              <w:bCs/>
              <w:color w:val="4F81BD"/>
            </w:rPr>
          </w:pPr>
        </w:p>
      </w:tc>
      <w:tc>
        <w:tcPr>
          <w:tcW w:w="7938" w:type="dxa"/>
        </w:tcPr>
        <w:p w:rsidR="002E17EB" w:rsidRPr="009F0443" w:rsidRDefault="002E17EB" w:rsidP="00B0441A">
          <w:pPr>
            <w:pStyle w:val="Footer"/>
          </w:pPr>
        </w:p>
      </w:tc>
    </w:tr>
  </w:tbl>
  <w:p w:rsidR="002E17EB" w:rsidRDefault="002E1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687" w:rsidRDefault="00660687">
      <w:r>
        <w:separator/>
      </w:r>
    </w:p>
  </w:footnote>
  <w:footnote w:type="continuationSeparator" w:id="0">
    <w:p w:rsidR="00660687" w:rsidRDefault="006606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08B23FFF"/>
    <w:multiLevelType w:val="hybridMultilevel"/>
    <w:tmpl w:val="B05EACD4"/>
    <w:lvl w:ilvl="0" w:tplc="EDBE1310">
      <w:start w:val="1"/>
      <w:numFmt w:val="bullet"/>
      <w:lvlText w:val=""/>
      <w:lvlJc w:val="left"/>
      <w:pPr>
        <w:tabs>
          <w:tab w:val="num" w:pos="1080"/>
        </w:tabs>
        <w:ind w:left="1080" w:hanging="360"/>
      </w:pPr>
      <w:rPr>
        <w:rFonts w:ascii="Symbol" w:hAnsi="Symbol" w:hint="default"/>
        <w:color w:val="0084D1"/>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09A542E6"/>
    <w:multiLevelType w:val="hybridMultilevel"/>
    <w:tmpl w:val="59D0D63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
    <w:nsid w:val="112F6819"/>
    <w:multiLevelType w:val="multilevel"/>
    <w:tmpl w:val="FF5891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517418D"/>
    <w:multiLevelType w:val="hybridMultilevel"/>
    <w:tmpl w:val="BE904C86"/>
    <w:lvl w:ilvl="0" w:tplc="612682A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6E5165A"/>
    <w:multiLevelType w:val="hybridMultilevel"/>
    <w:tmpl w:val="5CA80DD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2A6028D"/>
    <w:multiLevelType w:val="multilevel"/>
    <w:tmpl w:val="35DA7E3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nsid w:val="3384103C"/>
    <w:multiLevelType w:val="multilevel"/>
    <w:tmpl w:val="20E0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BF084C"/>
    <w:multiLevelType w:val="hybridMultilevel"/>
    <w:tmpl w:val="81D44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9A5585"/>
    <w:multiLevelType w:val="hybridMultilevel"/>
    <w:tmpl w:val="4ED4A5D4"/>
    <w:lvl w:ilvl="0" w:tplc="9418F9B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498835BC"/>
    <w:multiLevelType w:val="hybridMultilevel"/>
    <w:tmpl w:val="444C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39466B"/>
    <w:multiLevelType w:val="hybridMultilevel"/>
    <w:tmpl w:val="606EBF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2F12EB4"/>
    <w:multiLevelType w:val="hybridMultilevel"/>
    <w:tmpl w:val="BA0294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C503D70"/>
    <w:multiLevelType w:val="hybridMultilevel"/>
    <w:tmpl w:val="70E2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514B41"/>
    <w:multiLevelType w:val="hybridMultilevel"/>
    <w:tmpl w:val="8F82EDC6"/>
    <w:lvl w:ilvl="0" w:tplc="53BA6F5A">
      <w:start w:val="1"/>
      <w:numFmt w:val="bullet"/>
      <w:lvlText w:val=""/>
      <w:lvlJc w:val="left"/>
      <w:pPr>
        <w:tabs>
          <w:tab w:val="num" w:pos="1080"/>
        </w:tabs>
        <w:ind w:left="1080" w:hanging="360"/>
      </w:pPr>
      <w:rPr>
        <w:rFonts w:ascii="Symbol" w:hAnsi="Symbol" w:hint="default"/>
        <w:color w:val="0084D1"/>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nsid w:val="697D37D7"/>
    <w:multiLevelType w:val="multilevel"/>
    <w:tmpl w:val="F9DC104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nsid w:val="6ECF4C03"/>
    <w:multiLevelType w:val="multilevel"/>
    <w:tmpl w:val="86A6FC8A"/>
    <w:lvl w:ilvl="0">
      <w:start w:val="6"/>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nsid w:val="760A34FC"/>
    <w:multiLevelType w:val="hybridMultilevel"/>
    <w:tmpl w:val="1EAE7A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96024F0"/>
    <w:multiLevelType w:val="hybridMultilevel"/>
    <w:tmpl w:val="514E88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A4503A7"/>
    <w:multiLevelType w:val="hybridMultilevel"/>
    <w:tmpl w:val="9B22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8"/>
  </w:num>
  <w:num w:numId="6">
    <w:abstractNumId w:val="13"/>
  </w:num>
  <w:num w:numId="7">
    <w:abstractNumId w:val="5"/>
  </w:num>
  <w:num w:numId="8">
    <w:abstractNumId w:val="14"/>
  </w:num>
  <w:num w:numId="9">
    <w:abstractNumId w:val="15"/>
  </w:num>
  <w:num w:numId="10">
    <w:abstractNumId w:val="6"/>
  </w:num>
  <w:num w:numId="11">
    <w:abstractNumId w:val="1"/>
  </w:num>
  <w:num w:numId="12">
    <w:abstractNumId w:val="12"/>
  </w:num>
  <w:num w:numId="13">
    <w:abstractNumId w:val="9"/>
  </w:num>
  <w:num w:numId="14">
    <w:abstractNumId w:val="18"/>
  </w:num>
  <w:num w:numId="15">
    <w:abstractNumId w:val="7"/>
  </w:num>
  <w:num w:numId="16">
    <w:abstractNumId w:val="16"/>
  </w:num>
  <w:num w:numId="17">
    <w:abstractNumId w:val="17"/>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21"/>
    <w:rsid w:val="00005AD9"/>
    <w:rsid w:val="00006BC5"/>
    <w:rsid w:val="0001232A"/>
    <w:rsid w:val="00041C27"/>
    <w:rsid w:val="0005651F"/>
    <w:rsid w:val="00074112"/>
    <w:rsid w:val="00082394"/>
    <w:rsid w:val="000913B2"/>
    <w:rsid w:val="000B47AA"/>
    <w:rsid w:val="000C3746"/>
    <w:rsid w:val="000E72D5"/>
    <w:rsid w:val="00100FF7"/>
    <w:rsid w:val="001045B7"/>
    <w:rsid w:val="00110887"/>
    <w:rsid w:val="00120855"/>
    <w:rsid w:val="00123CA3"/>
    <w:rsid w:val="00176A46"/>
    <w:rsid w:val="001857D1"/>
    <w:rsid w:val="001B6700"/>
    <w:rsid w:val="001C7754"/>
    <w:rsid w:val="001F1987"/>
    <w:rsid w:val="00267728"/>
    <w:rsid w:val="00270D26"/>
    <w:rsid w:val="002745C7"/>
    <w:rsid w:val="00292B04"/>
    <w:rsid w:val="00297F43"/>
    <w:rsid w:val="002B3105"/>
    <w:rsid w:val="002C68BD"/>
    <w:rsid w:val="002C70DE"/>
    <w:rsid w:val="002D5E71"/>
    <w:rsid w:val="002E17EB"/>
    <w:rsid w:val="00320C26"/>
    <w:rsid w:val="00343A6F"/>
    <w:rsid w:val="00382EAC"/>
    <w:rsid w:val="00397743"/>
    <w:rsid w:val="00405A42"/>
    <w:rsid w:val="00414080"/>
    <w:rsid w:val="00453102"/>
    <w:rsid w:val="005247A1"/>
    <w:rsid w:val="00554E63"/>
    <w:rsid w:val="00565A55"/>
    <w:rsid w:val="0057031D"/>
    <w:rsid w:val="005859C4"/>
    <w:rsid w:val="00597031"/>
    <w:rsid w:val="005A69A0"/>
    <w:rsid w:val="005E19EC"/>
    <w:rsid w:val="00603D77"/>
    <w:rsid w:val="00614E1F"/>
    <w:rsid w:val="00660687"/>
    <w:rsid w:val="00680DD6"/>
    <w:rsid w:val="006B19CE"/>
    <w:rsid w:val="006E764A"/>
    <w:rsid w:val="00701CBD"/>
    <w:rsid w:val="00750DF3"/>
    <w:rsid w:val="007A414E"/>
    <w:rsid w:val="007B475D"/>
    <w:rsid w:val="007C1D95"/>
    <w:rsid w:val="007F48EB"/>
    <w:rsid w:val="0080568C"/>
    <w:rsid w:val="00822E26"/>
    <w:rsid w:val="008440B2"/>
    <w:rsid w:val="00846ED3"/>
    <w:rsid w:val="008476B3"/>
    <w:rsid w:val="0087181E"/>
    <w:rsid w:val="00872C0B"/>
    <w:rsid w:val="008B5091"/>
    <w:rsid w:val="008C3087"/>
    <w:rsid w:val="008F3DB6"/>
    <w:rsid w:val="0092279F"/>
    <w:rsid w:val="00964BAB"/>
    <w:rsid w:val="009762B3"/>
    <w:rsid w:val="009A7BF4"/>
    <w:rsid w:val="009F0443"/>
    <w:rsid w:val="00A16F44"/>
    <w:rsid w:val="00A27A10"/>
    <w:rsid w:val="00A30771"/>
    <w:rsid w:val="00A339A4"/>
    <w:rsid w:val="00A35E76"/>
    <w:rsid w:val="00AA3391"/>
    <w:rsid w:val="00AB508D"/>
    <w:rsid w:val="00AC6DED"/>
    <w:rsid w:val="00AE00E8"/>
    <w:rsid w:val="00AF5AB8"/>
    <w:rsid w:val="00B013A6"/>
    <w:rsid w:val="00B0441A"/>
    <w:rsid w:val="00B4650F"/>
    <w:rsid w:val="00B50295"/>
    <w:rsid w:val="00B7116C"/>
    <w:rsid w:val="00B90CE2"/>
    <w:rsid w:val="00BA51FF"/>
    <w:rsid w:val="00BC1119"/>
    <w:rsid w:val="00BF4974"/>
    <w:rsid w:val="00C26396"/>
    <w:rsid w:val="00C34C88"/>
    <w:rsid w:val="00C35D7A"/>
    <w:rsid w:val="00C52969"/>
    <w:rsid w:val="00C67CCA"/>
    <w:rsid w:val="00CE5BF8"/>
    <w:rsid w:val="00CF6D0B"/>
    <w:rsid w:val="00CF7FC8"/>
    <w:rsid w:val="00D056D3"/>
    <w:rsid w:val="00D16EDE"/>
    <w:rsid w:val="00D46F1A"/>
    <w:rsid w:val="00D55132"/>
    <w:rsid w:val="00D62F08"/>
    <w:rsid w:val="00D64350"/>
    <w:rsid w:val="00D8083A"/>
    <w:rsid w:val="00D91FDD"/>
    <w:rsid w:val="00DB7090"/>
    <w:rsid w:val="00DF3631"/>
    <w:rsid w:val="00DF7B21"/>
    <w:rsid w:val="00E00888"/>
    <w:rsid w:val="00E054B6"/>
    <w:rsid w:val="00E45455"/>
    <w:rsid w:val="00E6353B"/>
    <w:rsid w:val="00E90538"/>
    <w:rsid w:val="00EA19E2"/>
    <w:rsid w:val="00EB2C0C"/>
    <w:rsid w:val="00ED4CF4"/>
    <w:rsid w:val="00EE1E75"/>
    <w:rsid w:val="00EF4A8B"/>
    <w:rsid w:val="00F37865"/>
    <w:rsid w:val="00F42DF3"/>
    <w:rsid w:val="00F609E8"/>
    <w:rsid w:val="00F92FC3"/>
    <w:rsid w:val="00FA68DC"/>
    <w:rsid w:val="00FE2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EA19E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26396"/>
    <w:rPr>
      <w:sz w:val="20"/>
      <w:szCs w:val="20"/>
    </w:rPr>
  </w:style>
  <w:style w:type="character" w:styleId="FootnoteReference">
    <w:name w:val="footnote reference"/>
    <w:semiHidden/>
    <w:rsid w:val="00C26396"/>
    <w:rPr>
      <w:vertAlign w:val="superscript"/>
    </w:rPr>
  </w:style>
  <w:style w:type="table" w:styleId="TableGrid">
    <w:name w:val="Table Grid"/>
    <w:basedOn w:val="TableNormal"/>
    <w:rsid w:val="00AE0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E00E8"/>
    <w:pPr>
      <w:spacing w:before="100" w:beforeAutospacing="1" w:after="119"/>
    </w:pPr>
  </w:style>
  <w:style w:type="paragraph" w:styleId="Header">
    <w:name w:val="header"/>
    <w:basedOn w:val="Normal"/>
    <w:link w:val="HeaderChar"/>
    <w:rsid w:val="002E17EB"/>
    <w:pPr>
      <w:tabs>
        <w:tab w:val="center" w:pos="4513"/>
        <w:tab w:val="right" w:pos="9026"/>
      </w:tabs>
    </w:pPr>
  </w:style>
  <w:style w:type="character" w:customStyle="1" w:styleId="HeaderChar">
    <w:name w:val="Header Char"/>
    <w:link w:val="Header"/>
    <w:rsid w:val="002E17EB"/>
    <w:rPr>
      <w:sz w:val="24"/>
      <w:szCs w:val="24"/>
    </w:rPr>
  </w:style>
  <w:style w:type="paragraph" w:styleId="Footer">
    <w:name w:val="footer"/>
    <w:basedOn w:val="Normal"/>
    <w:link w:val="FooterChar"/>
    <w:uiPriority w:val="99"/>
    <w:rsid w:val="002E17EB"/>
    <w:pPr>
      <w:tabs>
        <w:tab w:val="center" w:pos="4513"/>
        <w:tab w:val="right" w:pos="9026"/>
      </w:tabs>
    </w:pPr>
  </w:style>
  <w:style w:type="character" w:customStyle="1" w:styleId="FooterChar">
    <w:name w:val="Footer Char"/>
    <w:link w:val="Footer"/>
    <w:uiPriority w:val="99"/>
    <w:rsid w:val="002E17EB"/>
    <w:rPr>
      <w:sz w:val="24"/>
      <w:szCs w:val="24"/>
    </w:rPr>
  </w:style>
  <w:style w:type="paragraph" w:customStyle="1" w:styleId="western">
    <w:name w:val="western"/>
    <w:basedOn w:val="Normal"/>
    <w:rsid w:val="00D8083A"/>
    <w:pPr>
      <w:spacing w:before="100" w:beforeAutospacing="1" w:after="142" w:line="288" w:lineRule="auto"/>
    </w:pPr>
  </w:style>
  <w:style w:type="character" w:styleId="Emphasis">
    <w:name w:val="Emphasis"/>
    <w:basedOn w:val="DefaultParagraphFont"/>
    <w:qFormat/>
    <w:rsid w:val="00A339A4"/>
    <w:rPr>
      <w:i/>
      <w:iCs/>
    </w:rPr>
  </w:style>
  <w:style w:type="character" w:customStyle="1" w:styleId="Heading1Char">
    <w:name w:val="Heading 1 Char"/>
    <w:basedOn w:val="DefaultParagraphFont"/>
    <w:link w:val="Heading1"/>
    <w:rsid w:val="00EA19E2"/>
    <w:rPr>
      <w:rFonts w:ascii="Cambria" w:eastAsia="Times New Roman" w:hAnsi="Cambria" w:cs="Times New Roman"/>
      <w:b/>
      <w:bCs/>
      <w:kern w:val="32"/>
      <w:sz w:val="32"/>
      <w:szCs w:val="32"/>
    </w:rPr>
  </w:style>
  <w:style w:type="paragraph" w:styleId="ListParagraph">
    <w:name w:val="List Paragraph"/>
    <w:basedOn w:val="Normal"/>
    <w:uiPriority w:val="34"/>
    <w:qFormat/>
    <w:rsid w:val="00453102"/>
    <w:pPr>
      <w:ind w:left="720"/>
      <w:contextualSpacing/>
    </w:pPr>
  </w:style>
  <w:style w:type="paragraph" w:styleId="BalloonText">
    <w:name w:val="Balloon Text"/>
    <w:basedOn w:val="Normal"/>
    <w:link w:val="BalloonTextChar"/>
    <w:rsid w:val="005247A1"/>
    <w:rPr>
      <w:rFonts w:ascii="Tahoma" w:hAnsi="Tahoma" w:cs="Tahoma"/>
      <w:sz w:val="16"/>
      <w:szCs w:val="16"/>
    </w:rPr>
  </w:style>
  <w:style w:type="character" w:customStyle="1" w:styleId="BalloonTextChar">
    <w:name w:val="Balloon Text Char"/>
    <w:basedOn w:val="DefaultParagraphFont"/>
    <w:link w:val="BalloonText"/>
    <w:rsid w:val="005247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EA19E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26396"/>
    <w:rPr>
      <w:sz w:val="20"/>
      <w:szCs w:val="20"/>
    </w:rPr>
  </w:style>
  <w:style w:type="character" w:styleId="FootnoteReference">
    <w:name w:val="footnote reference"/>
    <w:semiHidden/>
    <w:rsid w:val="00C26396"/>
    <w:rPr>
      <w:vertAlign w:val="superscript"/>
    </w:rPr>
  </w:style>
  <w:style w:type="table" w:styleId="TableGrid">
    <w:name w:val="Table Grid"/>
    <w:basedOn w:val="TableNormal"/>
    <w:rsid w:val="00AE0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E00E8"/>
    <w:pPr>
      <w:spacing w:before="100" w:beforeAutospacing="1" w:after="119"/>
    </w:pPr>
  </w:style>
  <w:style w:type="paragraph" w:styleId="Header">
    <w:name w:val="header"/>
    <w:basedOn w:val="Normal"/>
    <w:link w:val="HeaderChar"/>
    <w:rsid w:val="002E17EB"/>
    <w:pPr>
      <w:tabs>
        <w:tab w:val="center" w:pos="4513"/>
        <w:tab w:val="right" w:pos="9026"/>
      </w:tabs>
    </w:pPr>
  </w:style>
  <w:style w:type="character" w:customStyle="1" w:styleId="HeaderChar">
    <w:name w:val="Header Char"/>
    <w:link w:val="Header"/>
    <w:rsid w:val="002E17EB"/>
    <w:rPr>
      <w:sz w:val="24"/>
      <w:szCs w:val="24"/>
    </w:rPr>
  </w:style>
  <w:style w:type="paragraph" w:styleId="Footer">
    <w:name w:val="footer"/>
    <w:basedOn w:val="Normal"/>
    <w:link w:val="FooterChar"/>
    <w:uiPriority w:val="99"/>
    <w:rsid w:val="002E17EB"/>
    <w:pPr>
      <w:tabs>
        <w:tab w:val="center" w:pos="4513"/>
        <w:tab w:val="right" w:pos="9026"/>
      </w:tabs>
    </w:pPr>
  </w:style>
  <w:style w:type="character" w:customStyle="1" w:styleId="FooterChar">
    <w:name w:val="Footer Char"/>
    <w:link w:val="Footer"/>
    <w:uiPriority w:val="99"/>
    <w:rsid w:val="002E17EB"/>
    <w:rPr>
      <w:sz w:val="24"/>
      <w:szCs w:val="24"/>
    </w:rPr>
  </w:style>
  <w:style w:type="paragraph" w:customStyle="1" w:styleId="western">
    <w:name w:val="western"/>
    <w:basedOn w:val="Normal"/>
    <w:rsid w:val="00D8083A"/>
    <w:pPr>
      <w:spacing w:before="100" w:beforeAutospacing="1" w:after="142" w:line="288" w:lineRule="auto"/>
    </w:pPr>
  </w:style>
  <w:style w:type="character" w:styleId="Emphasis">
    <w:name w:val="Emphasis"/>
    <w:basedOn w:val="DefaultParagraphFont"/>
    <w:qFormat/>
    <w:rsid w:val="00A339A4"/>
    <w:rPr>
      <w:i/>
      <w:iCs/>
    </w:rPr>
  </w:style>
  <w:style w:type="character" w:customStyle="1" w:styleId="Heading1Char">
    <w:name w:val="Heading 1 Char"/>
    <w:basedOn w:val="DefaultParagraphFont"/>
    <w:link w:val="Heading1"/>
    <w:rsid w:val="00EA19E2"/>
    <w:rPr>
      <w:rFonts w:ascii="Cambria" w:eastAsia="Times New Roman" w:hAnsi="Cambria" w:cs="Times New Roman"/>
      <w:b/>
      <w:bCs/>
      <w:kern w:val="32"/>
      <w:sz w:val="32"/>
      <w:szCs w:val="32"/>
    </w:rPr>
  </w:style>
  <w:style w:type="paragraph" w:styleId="ListParagraph">
    <w:name w:val="List Paragraph"/>
    <w:basedOn w:val="Normal"/>
    <w:uiPriority w:val="34"/>
    <w:qFormat/>
    <w:rsid w:val="00453102"/>
    <w:pPr>
      <w:ind w:left="720"/>
      <w:contextualSpacing/>
    </w:pPr>
  </w:style>
  <w:style w:type="paragraph" w:styleId="BalloonText">
    <w:name w:val="Balloon Text"/>
    <w:basedOn w:val="Normal"/>
    <w:link w:val="BalloonTextChar"/>
    <w:rsid w:val="005247A1"/>
    <w:rPr>
      <w:rFonts w:ascii="Tahoma" w:hAnsi="Tahoma" w:cs="Tahoma"/>
      <w:sz w:val="16"/>
      <w:szCs w:val="16"/>
    </w:rPr>
  </w:style>
  <w:style w:type="character" w:customStyle="1" w:styleId="BalloonTextChar">
    <w:name w:val="Balloon Text Char"/>
    <w:basedOn w:val="DefaultParagraphFont"/>
    <w:link w:val="BalloonText"/>
    <w:rsid w:val="005247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19452">
      <w:bodyDiv w:val="1"/>
      <w:marLeft w:val="0"/>
      <w:marRight w:val="0"/>
      <w:marTop w:val="0"/>
      <w:marBottom w:val="0"/>
      <w:divBdr>
        <w:top w:val="none" w:sz="0" w:space="0" w:color="auto"/>
        <w:left w:val="none" w:sz="0" w:space="0" w:color="auto"/>
        <w:bottom w:val="none" w:sz="0" w:space="0" w:color="auto"/>
        <w:right w:val="none" w:sz="0" w:space="0" w:color="auto"/>
      </w:divBdr>
    </w:div>
    <w:div w:id="235171407">
      <w:bodyDiv w:val="1"/>
      <w:marLeft w:val="0"/>
      <w:marRight w:val="0"/>
      <w:marTop w:val="0"/>
      <w:marBottom w:val="0"/>
      <w:divBdr>
        <w:top w:val="none" w:sz="0" w:space="0" w:color="auto"/>
        <w:left w:val="none" w:sz="0" w:space="0" w:color="auto"/>
        <w:bottom w:val="none" w:sz="0" w:space="0" w:color="auto"/>
        <w:right w:val="none" w:sz="0" w:space="0" w:color="auto"/>
      </w:divBdr>
    </w:div>
    <w:div w:id="57482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AF143-52A9-4ED7-B586-81940D04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Serious Case review Sub-Group</vt:lpstr>
    </vt:vector>
  </TitlesOfParts>
  <Company>BCC</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Serious Case review Sub-Group</dc:title>
  <dc:creator>Bristol City Council</dc:creator>
  <cp:lastModifiedBy>Adams, Dawn</cp:lastModifiedBy>
  <cp:revision>2</cp:revision>
  <dcterms:created xsi:type="dcterms:W3CDTF">2020-02-12T12:16:00Z</dcterms:created>
  <dcterms:modified xsi:type="dcterms:W3CDTF">2020-02-12T12:16:00Z</dcterms:modified>
</cp:coreProperties>
</file>